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FE3C0" w14:textId="77777777" w:rsidR="000A667F" w:rsidRDefault="00E84B41" w:rsidP="000A667F">
      <w:pPr>
        <w:pStyle w:val="Heading2"/>
        <w:rPr>
          <w:b/>
        </w:rPr>
      </w:pPr>
      <w:bookmarkStart w:id="0" w:name="_GoBack"/>
      <w:bookmarkEnd w:id="0"/>
      <w:r w:rsidRPr="001113F5">
        <w:rPr>
          <w:b/>
        </w:rPr>
        <w:t>Responsible Supply Chains: The Future of Trade</w:t>
      </w:r>
      <w:r w:rsidR="001113F5">
        <w:rPr>
          <w:b/>
        </w:rPr>
        <w:t>:</w:t>
      </w:r>
      <w:r w:rsidR="001113F5" w:rsidRPr="001113F5">
        <w:rPr>
          <w:b/>
        </w:rPr>
        <w:t xml:space="preserve"> </w:t>
      </w:r>
      <w:r w:rsidRPr="001113F5">
        <w:rPr>
          <w:b/>
        </w:rPr>
        <w:t>‘</w:t>
      </w:r>
      <w:r w:rsidR="000D48B4" w:rsidRPr="001113F5">
        <w:rPr>
          <w:b/>
        </w:rPr>
        <w:t>Living Wage</w:t>
      </w:r>
      <w:r w:rsidRPr="001113F5">
        <w:rPr>
          <w:b/>
        </w:rPr>
        <w:t>: Taking the Leap of Faith’</w:t>
      </w:r>
      <w:r w:rsidR="000D48B4" w:rsidRPr="001113F5">
        <w:rPr>
          <w:b/>
        </w:rPr>
        <w:t xml:space="preserve"> </w:t>
      </w:r>
    </w:p>
    <w:p w14:paraId="03FD45ED" w14:textId="77777777" w:rsidR="000A667F" w:rsidRDefault="000A667F" w:rsidP="000A667F">
      <w:pPr>
        <w:pStyle w:val="Heading4"/>
      </w:pPr>
      <w:r w:rsidRPr="000A667F">
        <w:t>1</w:t>
      </w:r>
      <w:r w:rsidRPr="000A667F">
        <w:rPr>
          <w:vertAlign w:val="superscript"/>
        </w:rPr>
        <w:t>st</w:t>
      </w:r>
      <w:r w:rsidRPr="000A667F">
        <w:t xml:space="preserve"> Nov 2018</w:t>
      </w:r>
    </w:p>
    <w:p w14:paraId="694A3A87" w14:textId="7A631650" w:rsidR="0086395A" w:rsidRPr="001113F5" w:rsidRDefault="001A16B3" w:rsidP="000A667F">
      <w:pPr>
        <w:pStyle w:val="Heading1"/>
        <w:rPr>
          <w:rFonts w:eastAsia="Times New Roman"/>
          <w:b/>
          <w:bdr w:val="none" w:sz="0" w:space="0" w:color="auto"/>
          <w:lang w:val="en-GB"/>
        </w:rPr>
      </w:pPr>
      <w:r w:rsidRPr="000A667F">
        <w:t>Briefing</w:t>
      </w:r>
      <w:r w:rsidR="00367C4F" w:rsidRPr="000A667F">
        <w:t xml:space="preserve"> </w:t>
      </w:r>
      <w:r w:rsidR="00D723A1" w:rsidRPr="000A667F">
        <w:t>Notes</w:t>
      </w:r>
    </w:p>
    <w:p w14:paraId="26DD0C90" w14:textId="63F68A82" w:rsidR="00EF7BA5" w:rsidRDefault="007A7302" w:rsidP="009F43B8">
      <w:pPr>
        <w:pStyle w:val="Heading2"/>
        <w:spacing w:after="0"/>
      </w:pPr>
      <w:r>
        <w:t>What’s the a</w:t>
      </w:r>
      <w:r w:rsidR="00EF7BA5">
        <w:t xml:space="preserve">im of the </w:t>
      </w:r>
      <w:r>
        <w:t>l</w:t>
      </w:r>
      <w:r w:rsidR="00EF7BA5">
        <w:t xml:space="preserve">iving </w:t>
      </w:r>
      <w:r>
        <w:t>w</w:t>
      </w:r>
      <w:r w:rsidR="00EF7BA5">
        <w:t xml:space="preserve">age </w:t>
      </w:r>
      <w:r>
        <w:t>s</w:t>
      </w:r>
      <w:r w:rsidR="00EF7BA5">
        <w:t>ession</w:t>
      </w:r>
      <w:r>
        <w:t>?</w:t>
      </w:r>
    </w:p>
    <w:p w14:paraId="56DD71DA" w14:textId="502096A9" w:rsidR="002767A3" w:rsidRDefault="00EF7BA5" w:rsidP="007A3F66">
      <w:r>
        <w:t xml:space="preserve">The aim of this session is to explore what would persuade companies to take the ‘leap of faith’ and embark on a journey to ensure that workers in global supply chains earn enough to cover their basic costs for a decent standard of living. What will help </w:t>
      </w:r>
      <w:r w:rsidR="00E07790">
        <w:t xml:space="preserve">companies </w:t>
      </w:r>
      <w:r>
        <w:t xml:space="preserve">to take leadership and make commitment to living wages, and </w:t>
      </w:r>
      <w:r w:rsidR="00E07790">
        <w:t xml:space="preserve">how can </w:t>
      </w:r>
      <w:r w:rsidR="00310D30">
        <w:t xml:space="preserve">key </w:t>
      </w:r>
      <w:r>
        <w:t xml:space="preserve">stakeholders </w:t>
      </w:r>
      <w:r w:rsidR="00310D30">
        <w:t xml:space="preserve">- </w:t>
      </w:r>
      <w:r w:rsidR="00E07790">
        <w:t xml:space="preserve">such as trade unions </w:t>
      </w:r>
      <w:r w:rsidR="00310D30">
        <w:t xml:space="preserve">and NGOs - </w:t>
      </w:r>
      <w:r>
        <w:t xml:space="preserve">help them to take the leap of faith </w:t>
      </w:r>
      <w:r w:rsidR="00C21973">
        <w:t xml:space="preserve">towards </w:t>
      </w:r>
      <w:r>
        <w:t xml:space="preserve">living wages </w:t>
      </w:r>
      <w:r w:rsidR="00310D30">
        <w:t xml:space="preserve">that </w:t>
      </w:r>
      <w:r>
        <w:t>are effective and sustainable</w:t>
      </w:r>
      <w:r w:rsidR="00E07790">
        <w:t>?</w:t>
      </w:r>
      <w:r w:rsidR="003A6B0E">
        <w:t xml:space="preserve"> </w:t>
      </w:r>
    </w:p>
    <w:p w14:paraId="567090D2" w14:textId="522201A6" w:rsidR="002F1757" w:rsidRDefault="007A7302" w:rsidP="009F43B8">
      <w:pPr>
        <w:pStyle w:val="Heading2"/>
        <w:spacing w:after="0"/>
      </w:pPr>
      <w:r>
        <w:t>Why are we still concerned about living wages?</w:t>
      </w:r>
    </w:p>
    <w:p w14:paraId="49915800" w14:textId="370BF972" w:rsidR="001240E6" w:rsidRDefault="002F1757" w:rsidP="007A3F66">
      <w:r w:rsidRPr="001321D6">
        <w:t xml:space="preserve">The </w:t>
      </w:r>
      <w:r w:rsidR="00C94363" w:rsidRPr="0038775F">
        <w:rPr>
          <w:sz w:val="22"/>
          <w:szCs w:val="22"/>
        </w:rPr>
        <w:t xml:space="preserve">International Trade Union Confederation </w:t>
      </w:r>
      <w:r w:rsidR="00C94363">
        <w:rPr>
          <w:sz w:val="22"/>
          <w:szCs w:val="22"/>
        </w:rPr>
        <w:t>(</w:t>
      </w:r>
      <w:r w:rsidRPr="001321D6">
        <w:t>ITUC</w:t>
      </w:r>
      <w:r w:rsidR="00C94363">
        <w:t>)</w:t>
      </w:r>
      <w:r w:rsidRPr="001321D6">
        <w:t xml:space="preserve">’s </w:t>
      </w:r>
      <w:hyperlink r:id="rId8" w:history="1">
        <w:r w:rsidRPr="00357D48">
          <w:rPr>
            <w:rStyle w:val="Hyperlink"/>
          </w:rPr>
          <w:t>research</w:t>
        </w:r>
      </w:hyperlink>
      <w:r w:rsidR="00F83308">
        <w:rPr>
          <w:rStyle w:val="EndnoteReference"/>
          <w:color w:val="0563C1" w:themeColor="hyperlink"/>
          <w:u w:val="single"/>
        </w:rPr>
        <w:endnoteReference w:id="1"/>
      </w:r>
      <w:r w:rsidRPr="001321D6">
        <w:t xml:space="preserve"> shows a</w:t>
      </w:r>
      <w:r w:rsidR="0025286C">
        <w:t xml:space="preserve"> </w:t>
      </w:r>
      <w:r w:rsidR="00C94363">
        <w:t xml:space="preserve">global </w:t>
      </w:r>
      <w:r w:rsidR="00791FFC" w:rsidRPr="001321D6">
        <w:t>tren</w:t>
      </w:r>
      <w:r w:rsidR="00791FFC">
        <w:t>d</w:t>
      </w:r>
      <w:r w:rsidR="00791FFC" w:rsidRPr="001321D6">
        <w:t xml:space="preserve"> </w:t>
      </w:r>
      <w:r w:rsidR="00791FFC">
        <w:t xml:space="preserve"> towards </w:t>
      </w:r>
      <w:r w:rsidR="0025286C" w:rsidRPr="001321D6">
        <w:t>wage stagnation</w:t>
      </w:r>
      <w:r w:rsidR="00791FFC">
        <w:t xml:space="preserve">, increasing </w:t>
      </w:r>
      <w:r w:rsidRPr="001321D6">
        <w:t xml:space="preserve">inequality, and profits not being shared with workers through pay rises. </w:t>
      </w:r>
      <w:r w:rsidR="00EA663E">
        <w:t>Contributing factors include</w:t>
      </w:r>
      <w:r w:rsidRPr="001321D6">
        <w:t xml:space="preserve"> the weakening of social dialogue and collective bargaining, </w:t>
      </w:r>
      <w:r w:rsidR="00401E6C">
        <w:t xml:space="preserve">more </w:t>
      </w:r>
      <w:r w:rsidRPr="001321D6">
        <w:t>low-paid</w:t>
      </w:r>
      <w:r w:rsidR="00401E6C">
        <w:t>,</w:t>
      </w:r>
      <w:r w:rsidRPr="001321D6">
        <w:t xml:space="preserve"> precarious work, ineffective labour market regulations, technological change, </w:t>
      </w:r>
      <w:r w:rsidR="00FF2FE9">
        <w:t xml:space="preserve">globalization and </w:t>
      </w:r>
      <w:r w:rsidR="00FF2FE9" w:rsidRPr="00FF2FE9">
        <w:rPr>
          <w:b/>
        </w:rPr>
        <w:t>increased power for firms to dictate wages</w:t>
      </w:r>
      <w:r w:rsidRPr="001321D6">
        <w:t xml:space="preserve">.  </w:t>
      </w:r>
    </w:p>
    <w:p w14:paraId="52B2DF88" w14:textId="5DE8BA36" w:rsidR="008E2AA3" w:rsidRDefault="006E359E" w:rsidP="009F43B8">
      <w:pPr>
        <w:pStyle w:val="Heading2"/>
        <w:spacing w:after="0"/>
      </w:pPr>
      <w:r>
        <w:t xml:space="preserve">Where </w:t>
      </w:r>
      <w:r w:rsidR="001E6CB8">
        <w:t xml:space="preserve">were we in </w:t>
      </w:r>
      <w:r w:rsidR="001655E3">
        <w:t>2015?</w:t>
      </w:r>
    </w:p>
    <w:p w14:paraId="469DE71B" w14:textId="3237A770" w:rsidR="00FB4685" w:rsidRDefault="003D22CD" w:rsidP="007A3F66">
      <w:r>
        <w:t xml:space="preserve">At the 2015 ETI/KPMG/UNGC’s </w:t>
      </w:r>
      <w:hyperlink r:id="rId9" w:history="1">
        <w:r w:rsidRPr="00497CC5">
          <w:rPr>
            <w:rStyle w:val="Hyperlink"/>
          </w:rPr>
          <w:t>Living Wage Conference</w:t>
        </w:r>
      </w:hyperlink>
      <w:r w:rsidR="00472890">
        <w:rPr>
          <w:rStyle w:val="EndnoteReference"/>
          <w:color w:val="0563C1" w:themeColor="hyperlink"/>
          <w:u w:val="single"/>
        </w:rPr>
        <w:endnoteReference w:id="2"/>
      </w:r>
      <w:r>
        <w:t xml:space="preserve"> </w:t>
      </w:r>
      <w:r w:rsidR="001A16B3">
        <w:t xml:space="preserve">companies, trade unions and NGOs </w:t>
      </w:r>
      <w:r w:rsidR="003A6B0E">
        <w:t xml:space="preserve">came </w:t>
      </w:r>
      <w:r w:rsidR="001A16B3">
        <w:t>together</w:t>
      </w:r>
      <w:r>
        <w:t xml:space="preserve"> </w:t>
      </w:r>
      <w:r w:rsidR="001A16B3">
        <w:t xml:space="preserve">to explore the proposition that living wages were </w:t>
      </w:r>
      <w:hyperlink r:id="rId10" w:history="1">
        <w:r w:rsidR="001A16B3" w:rsidRPr="001A16B3">
          <w:t>“desirable, feasible, [and] inevitable.”</w:t>
        </w:r>
      </w:hyperlink>
      <w:r w:rsidR="001A16B3">
        <w:t xml:space="preserve"> Three years on, although some collaborations are making progress, we are still a long way from the tipping point of the majority of workers in global supply chains… or even in buying countries – earning enough in a standard working week to cover their basic needs with a bit left over for emergencies. It is still hard to find a success story to point to and say that is the definitive way to achieve living wages in a particular supply chain.</w:t>
      </w:r>
    </w:p>
    <w:p w14:paraId="16B68378" w14:textId="4DA310D0" w:rsidR="00595896" w:rsidRDefault="005311B8" w:rsidP="007A3F66">
      <w:r>
        <w:t xml:space="preserve">The key </w:t>
      </w:r>
      <w:r w:rsidR="00FE68BE">
        <w:t>collabora</w:t>
      </w:r>
      <w:r w:rsidR="00E54D89">
        <w:t>t</w:t>
      </w:r>
      <w:r w:rsidR="00FE68BE">
        <w:t xml:space="preserve">ive </w:t>
      </w:r>
      <w:r w:rsidR="0025286C">
        <w:t xml:space="preserve">living wage initiatives </w:t>
      </w:r>
      <w:r>
        <w:t xml:space="preserve">in place in 2015 </w:t>
      </w:r>
      <w:r w:rsidR="0025286C">
        <w:t>included</w:t>
      </w:r>
      <w:r w:rsidR="00595896">
        <w:t xml:space="preserve"> </w:t>
      </w:r>
      <w:hyperlink r:id="rId11" w:history="1">
        <w:r w:rsidR="00595896" w:rsidRPr="00781755">
          <w:rPr>
            <w:rStyle w:val="Hyperlink"/>
          </w:rPr>
          <w:t>ACT</w:t>
        </w:r>
      </w:hyperlink>
      <w:r w:rsidR="00637148">
        <w:rPr>
          <w:rStyle w:val="EndnoteReference"/>
          <w:color w:val="0563C1" w:themeColor="hyperlink"/>
          <w:u w:val="single"/>
        </w:rPr>
        <w:endnoteReference w:id="3"/>
      </w:r>
      <w:r w:rsidR="00595896">
        <w:t xml:space="preserve">, </w:t>
      </w:r>
      <w:hyperlink r:id="rId12" w:history="1">
        <w:r w:rsidR="00595896" w:rsidRPr="00954B98">
          <w:rPr>
            <w:rStyle w:val="Hyperlink"/>
          </w:rPr>
          <w:t>Malawi Tea 2020</w:t>
        </w:r>
      </w:hyperlink>
      <w:r w:rsidR="00637148">
        <w:rPr>
          <w:rStyle w:val="EndnoteReference"/>
          <w:color w:val="0563C1" w:themeColor="hyperlink"/>
          <w:u w:val="single"/>
        </w:rPr>
        <w:endnoteReference w:id="4"/>
      </w:r>
      <w:r w:rsidR="00595896">
        <w:t xml:space="preserve">, </w:t>
      </w:r>
      <w:hyperlink r:id="rId13" w:history="1">
        <w:r w:rsidR="00595896" w:rsidRPr="00781755">
          <w:rPr>
            <w:rStyle w:val="Hyperlink"/>
          </w:rPr>
          <w:t>World Banana Forum</w:t>
        </w:r>
      </w:hyperlink>
      <w:r w:rsidR="00D62D31">
        <w:rPr>
          <w:rStyle w:val="EndnoteReference"/>
          <w:color w:val="0563C1" w:themeColor="hyperlink"/>
          <w:u w:val="single"/>
        </w:rPr>
        <w:endnoteReference w:id="5"/>
      </w:r>
      <w:r w:rsidR="00595896">
        <w:t xml:space="preserve"> and </w:t>
      </w:r>
      <w:hyperlink r:id="rId14" w:history="1">
        <w:r w:rsidR="00595896" w:rsidRPr="00D62D31">
          <w:rPr>
            <w:rStyle w:val="Hyperlink"/>
          </w:rPr>
          <w:t xml:space="preserve">Fair Food </w:t>
        </w:r>
        <w:r w:rsidR="00633824" w:rsidRPr="00D62D31">
          <w:rPr>
            <w:rStyle w:val="Hyperlink"/>
          </w:rPr>
          <w:t>Program</w:t>
        </w:r>
      </w:hyperlink>
      <w:r w:rsidR="00D62D31">
        <w:rPr>
          <w:rStyle w:val="EndnoteReference"/>
          <w:color w:val="0563C1" w:themeColor="hyperlink"/>
          <w:u w:val="single"/>
        </w:rPr>
        <w:endnoteReference w:id="6"/>
      </w:r>
      <w:r>
        <w:rPr>
          <w:rStyle w:val="Hyperlink"/>
        </w:rPr>
        <w:t>.</w:t>
      </w:r>
      <w:r w:rsidR="00433456">
        <w:t xml:space="preserve"> </w:t>
      </w:r>
      <w:r>
        <w:t>A</w:t>
      </w:r>
      <w:r w:rsidR="000B6AA1">
        <w:t>s far as we know,</w:t>
      </w:r>
      <w:r w:rsidR="00DE0E59">
        <w:t xml:space="preserve"> no major new ones have </w:t>
      </w:r>
      <w:r w:rsidR="00ED6902">
        <w:t xml:space="preserve">since </w:t>
      </w:r>
      <w:r w:rsidR="00DE0E59">
        <w:t xml:space="preserve">emerged. </w:t>
      </w:r>
      <w:r w:rsidR="00EE7353">
        <w:t xml:space="preserve">These are </w:t>
      </w:r>
      <w:r w:rsidR="00F250D9">
        <w:t xml:space="preserve">mostly long-term projects </w:t>
      </w:r>
      <w:r w:rsidR="000D471B">
        <w:t xml:space="preserve">with no </w:t>
      </w:r>
      <w:r w:rsidR="00CD00D4">
        <w:t xml:space="preserve">clear </w:t>
      </w:r>
      <w:r w:rsidR="000D471B">
        <w:t xml:space="preserve">evidence yet of </w:t>
      </w:r>
      <w:r w:rsidR="00D136C3">
        <w:t xml:space="preserve">widespread </w:t>
      </w:r>
      <w:r w:rsidR="000D471B">
        <w:t>impact on wages.</w:t>
      </w:r>
      <w:r w:rsidR="00595896">
        <w:t xml:space="preserve"> </w:t>
      </w:r>
      <w:r w:rsidR="00CD00D4">
        <w:t xml:space="preserve">The exception is the worker-driven Fair Food </w:t>
      </w:r>
      <w:r w:rsidR="00633824">
        <w:t>P</w:t>
      </w:r>
      <w:r w:rsidR="00CD00D4">
        <w:t xml:space="preserve">rogram of the </w:t>
      </w:r>
      <w:r w:rsidR="00CD00D4" w:rsidRPr="00301E15">
        <w:t>Coalition of Immokalee Workers</w:t>
      </w:r>
      <w:r w:rsidR="00633824" w:rsidRPr="00301E15">
        <w:t>,</w:t>
      </w:r>
      <w:r w:rsidR="00CD00D4" w:rsidRPr="00301E15">
        <w:t xml:space="preserve"> which</w:t>
      </w:r>
      <w:r w:rsidR="00CD00D4">
        <w:t xml:space="preserve"> appears to have significantly </w:t>
      </w:r>
      <w:hyperlink r:id="rId15" w:history="1">
        <w:r w:rsidR="00CD00D4" w:rsidRPr="00301E15">
          <w:rPr>
            <w:rStyle w:val="Hyperlink"/>
          </w:rPr>
          <w:t>increased many US farm workers’ wages</w:t>
        </w:r>
      </w:hyperlink>
      <w:r w:rsidR="00CD00D4">
        <w:t xml:space="preserve">. </w:t>
      </w:r>
      <w:r w:rsidR="000B6AA1">
        <w:t>A few individual companies were trialing unilateral a</w:t>
      </w:r>
      <w:r w:rsidR="00C90792">
        <w:t>pproaches</w:t>
      </w:r>
      <w:r w:rsidR="000B6AA1">
        <w:t xml:space="preserve">, </w:t>
      </w:r>
      <w:hyperlink r:id="rId16" w:history="1">
        <w:r w:rsidR="000B6AA1" w:rsidRPr="00781755">
          <w:rPr>
            <w:rStyle w:val="Hyperlink"/>
          </w:rPr>
          <w:t>Patagonia’s Fair Trade premium</w:t>
        </w:r>
      </w:hyperlink>
      <w:r w:rsidR="0098505C">
        <w:rPr>
          <w:rStyle w:val="EndnoteReference"/>
          <w:color w:val="0563C1" w:themeColor="hyperlink"/>
          <w:u w:val="single"/>
        </w:rPr>
        <w:endnoteReference w:id="7"/>
      </w:r>
      <w:r w:rsidR="000B6AA1">
        <w:t xml:space="preserve">, and </w:t>
      </w:r>
      <w:hyperlink r:id="rId17" w:history="1">
        <w:r w:rsidR="000B6AA1" w:rsidRPr="00781755">
          <w:rPr>
            <w:rStyle w:val="Hyperlink"/>
          </w:rPr>
          <w:t>Nudie Jeans</w:t>
        </w:r>
      </w:hyperlink>
      <w:r w:rsidR="0098505C">
        <w:rPr>
          <w:rStyle w:val="EndnoteReference"/>
          <w:color w:val="0563C1" w:themeColor="hyperlink"/>
          <w:u w:val="single"/>
        </w:rPr>
        <w:endnoteReference w:id="8"/>
      </w:r>
      <w:r w:rsidR="000B6AA1">
        <w:t>’ pay your share of the living wage approach</w:t>
      </w:r>
      <w:r w:rsidR="00CD00D4">
        <w:t>, but the scalability and sustainability of these initiatives</w:t>
      </w:r>
      <w:r w:rsidR="00C90792">
        <w:t xml:space="preserve"> remain in question</w:t>
      </w:r>
      <w:r w:rsidR="000B6AA1">
        <w:t xml:space="preserve">. </w:t>
      </w:r>
      <w:r w:rsidR="00BF54C1">
        <w:t xml:space="preserve"> </w:t>
      </w:r>
      <w:hyperlink r:id="rId18" w:history="1">
        <w:r w:rsidR="00BF54C1" w:rsidRPr="00781755">
          <w:rPr>
            <w:rStyle w:val="Hyperlink"/>
          </w:rPr>
          <w:t>H&amp;M’s Fair Living Wage Roadmap</w:t>
        </w:r>
      </w:hyperlink>
      <w:r w:rsidR="00397AC4">
        <w:rPr>
          <w:rStyle w:val="EndnoteReference"/>
          <w:color w:val="0563C1" w:themeColor="hyperlink"/>
          <w:u w:val="single"/>
        </w:rPr>
        <w:endnoteReference w:id="9"/>
      </w:r>
      <w:r w:rsidR="00BF54C1">
        <w:t xml:space="preserve"> falls somewhere between the two – it is a unilateral initiative, but its strategy </w:t>
      </w:r>
      <w:r w:rsidR="008E2AA3">
        <w:t>incorporates ACT and seeks industry-wide change.</w:t>
      </w:r>
      <w:r w:rsidR="0001280B">
        <w:t xml:space="preserve"> </w:t>
      </w:r>
    </w:p>
    <w:p w14:paraId="64578576" w14:textId="5853B17A" w:rsidR="001E6CB8" w:rsidRDefault="001E6CB8" w:rsidP="009F43B8">
      <w:pPr>
        <w:pStyle w:val="Heading2"/>
        <w:spacing w:after="0"/>
      </w:pPr>
      <w:r>
        <w:t xml:space="preserve">What’s </w:t>
      </w:r>
      <w:r w:rsidR="005E6A72">
        <w:t xml:space="preserve">new </w:t>
      </w:r>
      <w:r>
        <w:t>since 2015</w:t>
      </w:r>
      <w:r w:rsidR="005E6A72">
        <w:t>?</w:t>
      </w:r>
    </w:p>
    <w:p w14:paraId="2FD1A92E" w14:textId="24762ED8" w:rsidR="002F05F3" w:rsidRDefault="00707A04" w:rsidP="007A3F66">
      <w:r>
        <w:t xml:space="preserve">In 2015, companies </w:t>
      </w:r>
      <w:r w:rsidR="007151BD">
        <w:t xml:space="preserve">were reluctant to </w:t>
      </w:r>
      <w:r>
        <w:t>enter th</w:t>
      </w:r>
      <w:r w:rsidR="007151BD">
        <w:t>e living wage</w:t>
      </w:r>
      <w:r>
        <w:t xml:space="preserve"> space </w:t>
      </w:r>
      <w:r w:rsidR="007151BD">
        <w:t xml:space="preserve">because they </w:t>
      </w:r>
      <w:r w:rsidR="00476628">
        <w:t xml:space="preserve">didn’t know </w:t>
      </w:r>
      <w:r w:rsidR="007151BD">
        <w:t xml:space="preserve">how to go about it and because there was no </w:t>
      </w:r>
      <w:r w:rsidR="00007634">
        <w:t xml:space="preserve">universally agreed </w:t>
      </w:r>
      <w:r w:rsidR="004F2DDD">
        <w:t xml:space="preserve">benchmark or calculation </w:t>
      </w:r>
      <w:r w:rsidR="00007634">
        <w:t>method</w:t>
      </w:r>
      <w:r w:rsidR="007151BD">
        <w:t xml:space="preserve">. </w:t>
      </w:r>
      <w:r w:rsidR="00033391">
        <w:t xml:space="preserve">Three years later, the </w:t>
      </w:r>
      <w:r w:rsidR="001D0384">
        <w:t xml:space="preserve">methodologies of the </w:t>
      </w:r>
      <w:r w:rsidR="00033391">
        <w:t>initiatives above have matured and progressed</w:t>
      </w:r>
      <w:r w:rsidR="006C206B">
        <w:t>,</w:t>
      </w:r>
      <w:r w:rsidR="00033391">
        <w:t xml:space="preserve"> and </w:t>
      </w:r>
      <w:r w:rsidR="008C7281">
        <w:t xml:space="preserve">there are </w:t>
      </w:r>
      <w:r w:rsidR="00824E92">
        <w:t xml:space="preserve">widely accepted </w:t>
      </w:r>
      <w:r w:rsidR="001D0384">
        <w:t>benchmarking</w:t>
      </w:r>
      <w:r w:rsidR="00824E92">
        <w:t xml:space="preserve"> </w:t>
      </w:r>
      <w:r w:rsidR="00C625BC">
        <w:t>processes</w:t>
      </w:r>
      <w:r w:rsidR="008C7281">
        <w:t xml:space="preserve"> </w:t>
      </w:r>
      <w:r w:rsidR="00824E92">
        <w:t xml:space="preserve">– notably </w:t>
      </w:r>
      <w:r w:rsidR="00033391">
        <w:t xml:space="preserve">the </w:t>
      </w:r>
      <w:r w:rsidR="00824E92">
        <w:t xml:space="preserve">Anker methodology </w:t>
      </w:r>
      <w:r w:rsidR="00353ADC">
        <w:t xml:space="preserve">used </w:t>
      </w:r>
      <w:r w:rsidR="00C625BC">
        <w:t xml:space="preserve">to calculate living wage levels </w:t>
      </w:r>
      <w:r w:rsidR="00E85572">
        <w:t xml:space="preserve">several </w:t>
      </w:r>
      <w:r w:rsidR="00C625BC">
        <w:t xml:space="preserve">regions </w:t>
      </w:r>
      <w:r w:rsidR="00353ADC">
        <w:t xml:space="preserve">by the </w:t>
      </w:r>
      <w:hyperlink r:id="rId19" w:history="1">
        <w:r w:rsidR="00033391" w:rsidRPr="009748EE">
          <w:rPr>
            <w:rStyle w:val="Hyperlink"/>
          </w:rPr>
          <w:t>Global Living Wage Coalition</w:t>
        </w:r>
      </w:hyperlink>
      <w:r w:rsidR="00413671">
        <w:rPr>
          <w:rStyle w:val="EndnoteReference"/>
          <w:color w:val="0563C1" w:themeColor="hyperlink"/>
          <w:u w:val="single"/>
        </w:rPr>
        <w:endnoteReference w:id="10"/>
      </w:r>
      <w:r w:rsidR="00033391">
        <w:t xml:space="preserve"> </w:t>
      </w:r>
      <w:r w:rsidR="00353ADC">
        <w:t xml:space="preserve">and </w:t>
      </w:r>
      <w:hyperlink r:id="rId20" w:history="1">
        <w:r w:rsidR="00353ADC" w:rsidRPr="00410AAF">
          <w:rPr>
            <w:rStyle w:val="Hyperlink"/>
          </w:rPr>
          <w:t>WageIndicator Foundation</w:t>
        </w:r>
      </w:hyperlink>
      <w:r w:rsidR="00410AAF">
        <w:rPr>
          <w:rStyle w:val="EndnoteReference"/>
        </w:rPr>
        <w:endnoteReference w:id="11"/>
      </w:r>
      <w:r w:rsidR="0082648D">
        <w:t>.</w:t>
      </w:r>
    </w:p>
    <w:p w14:paraId="2EC27782" w14:textId="2421DFC3" w:rsidR="00F83DB0" w:rsidRDefault="00F83DB0" w:rsidP="007A3F66">
      <w:r>
        <w:t xml:space="preserve">Fair Wear Foundation has also been exploring various methods for ensuring higher wages for garment workers </w:t>
      </w:r>
      <w:r w:rsidR="00DB106B">
        <w:t>through</w:t>
      </w:r>
      <w:r>
        <w:t xml:space="preserve"> its </w:t>
      </w:r>
      <w:hyperlink r:id="rId21" w:anchor="!/content/https://www.fairwear.org/living-wage-portal/leading-fwf-brands-push-pay-higher-wages/" w:history="1">
        <w:r w:rsidRPr="009238BB">
          <w:rPr>
            <w:rStyle w:val="Hyperlink"/>
          </w:rPr>
          <w:t>‘living wage incubator’</w:t>
        </w:r>
      </w:hyperlink>
      <w:r w:rsidR="00413671">
        <w:rPr>
          <w:rStyle w:val="EndnoteReference"/>
          <w:color w:val="0563C1" w:themeColor="hyperlink"/>
          <w:u w:val="single"/>
        </w:rPr>
        <w:endnoteReference w:id="12"/>
      </w:r>
      <w:r>
        <w:t xml:space="preserve">. More than a dozen brands have joined since January 2017 to experiment with cutting-edge approaches to raising wages within their supply chains. </w:t>
      </w:r>
    </w:p>
    <w:p w14:paraId="72D19BAD" w14:textId="45BB2463" w:rsidR="008E7056" w:rsidRDefault="00C67F38" w:rsidP="007A3F66">
      <w:r>
        <w:t>But t</w:t>
      </w:r>
      <w:r w:rsidR="001D02F4">
        <w:t xml:space="preserve">he most </w:t>
      </w:r>
      <w:r w:rsidR="00BC773A">
        <w:t xml:space="preserve">notable new development since 2015 </w:t>
      </w:r>
      <w:r w:rsidR="001D02F4">
        <w:t xml:space="preserve">is the growing </w:t>
      </w:r>
      <w:r w:rsidR="004A465E">
        <w:t xml:space="preserve">number of </w:t>
      </w:r>
      <w:r w:rsidR="00560F33">
        <w:t>initiatives to</w:t>
      </w:r>
      <w:r w:rsidR="004A465E">
        <w:t xml:space="preserve"> </w:t>
      </w:r>
      <w:r w:rsidR="00B876B8">
        <w:t>driv</w:t>
      </w:r>
      <w:r w:rsidR="00560F33">
        <w:t>e</w:t>
      </w:r>
      <w:r w:rsidR="00B876B8">
        <w:t xml:space="preserve"> greater transparency in how </w:t>
      </w:r>
      <w:r w:rsidR="008925C7">
        <w:t xml:space="preserve">global supply chains </w:t>
      </w:r>
      <w:r w:rsidR="00B876B8">
        <w:t>impact on workers, including on their wages</w:t>
      </w:r>
      <w:r w:rsidR="00C23DFD">
        <w:t>.</w:t>
      </w:r>
      <w:r w:rsidR="00980088">
        <w:t xml:space="preserve"> </w:t>
      </w:r>
      <w:r w:rsidR="008925C7">
        <w:t>N</w:t>
      </w:r>
      <w:r w:rsidR="00413189">
        <w:t xml:space="preserve">ew voices are </w:t>
      </w:r>
      <w:r w:rsidR="00915B14">
        <w:t xml:space="preserve">joining </w:t>
      </w:r>
      <w:r w:rsidR="008925C7">
        <w:t xml:space="preserve">those of </w:t>
      </w:r>
      <w:r w:rsidR="001627E4">
        <w:t xml:space="preserve">well established </w:t>
      </w:r>
      <w:r w:rsidR="008925C7">
        <w:t xml:space="preserve">trade unions and the </w:t>
      </w:r>
      <w:hyperlink r:id="rId22" w:history="1">
        <w:r w:rsidR="008925C7" w:rsidRPr="00152A74">
          <w:rPr>
            <w:rStyle w:val="Hyperlink"/>
          </w:rPr>
          <w:t>Clean Clothes Campaign</w:t>
        </w:r>
      </w:hyperlink>
      <w:r w:rsidR="008F680E">
        <w:rPr>
          <w:rStyle w:val="EndnoteReference"/>
          <w:color w:val="0563C1" w:themeColor="hyperlink"/>
          <w:u w:val="single"/>
        </w:rPr>
        <w:endnoteReference w:id="13"/>
      </w:r>
      <w:r w:rsidR="008925C7">
        <w:t xml:space="preserve"> </w:t>
      </w:r>
      <w:r w:rsidR="00413189">
        <w:t xml:space="preserve">, including  </w:t>
      </w:r>
      <w:r w:rsidR="004556F6">
        <w:t>the alliance</w:t>
      </w:r>
      <w:r w:rsidR="00413189">
        <w:t xml:space="preserve"> of </w:t>
      </w:r>
      <w:r w:rsidR="00F40E5D">
        <w:t>Dutch financial institutions</w:t>
      </w:r>
      <w:r w:rsidR="004556F6">
        <w:t xml:space="preserve">, </w:t>
      </w:r>
      <w:hyperlink r:id="rId23" w:history="1">
        <w:r w:rsidR="00367E68" w:rsidRPr="00367E68">
          <w:rPr>
            <w:rStyle w:val="Hyperlink"/>
          </w:rPr>
          <w:t>Platform Living Wage Financials</w:t>
        </w:r>
      </w:hyperlink>
      <w:r w:rsidR="00981660">
        <w:rPr>
          <w:rStyle w:val="EndnoteReference"/>
          <w:color w:val="0563C1" w:themeColor="hyperlink"/>
          <w:u w:val="single"/>
        </w:rPr>
        <w:endnoteReference w:id="14"/>
      </w:r>
      <w:r w:rsidR="00367E68">
        <w:t xml:space="preserve"> , </w:t>
      </w:r>
      <w:r w:rsidR="008961B3">
        <w:t>ShareAction</w:t>
      </w:r>
      <w:r w:rsidR="00D11EAF">
        <w:t xml:space="preserve">’s </w:t>
      </w:r>
      <w:hyperlink r:id="rId24" w:history="1">
        <w:r w:rsidR="00D11EAF" w:rsidRPr="00D11EAF">
          <w:rPr>
            <w:rStyle w:val="Hyperlink"/>
          </w:rPr>
          <w:t>Workforce Disclosure Ini</w:t>
        </w:r>
        <w:r w:rsidR="00981660">
          <w:rPr>
            <w:rStyle w:val="EndnoteReference"/>
            <w:color w:val="0563C1" w:themeColor="hyperlink"/>
            <w:u w:val="single"/>
          </w:rPr>
          <w:endnoteReference w:id="15"/>
        </w:r>
        <w:r w:rsidR="00D11EAF" w:rsidRPr="00D11EAF">
          <w:rPr>
            <w:rStyle w:val="Hyperlink"/>
          </w:rPr>
          <w:t>tiative</w:t>
        </w:r>
      </w:hyperlink>
      <w:r w:rsidR="008961B3">
        <w:t xml:space="preserve"> </w:t>
      </w:r>
      <w:r w:rsidR="007D1568">
        <w:t xml:space="preserve">and </w:t>
      </w:r>
      <w:hyperlink r:id="rId25" w:history="1">
        <w:r w:rsidR="007D1568" w:rsidRPr="00F70E3D">
          <w:rPr>
            <w:rStyle w:val="Hyperlink"/>
          </w:rPr>
          <w:t>Better Buying</w:t>
        </w:r>
      </w:hyperlink>
      <w:r w:rsidR="007D1568">
        <w:t>’s</w:t>
      </w:r>
      <w:r w:rsidR="006105D5">
        <w:rPr>
          <w:rStyle w:val="EndnoteReference"/>
        </w:rPr>
        <w:endnoteReference w:id="16"/>
      </w:r>
      <w:r w:rsidR="007D1568">
        <w:t xml:space="preserve"> </w:t>
      </w:r>
      <w:r w:rsidR="00F40E5D">
        <w:t xml:space="preserve">on-line platform for </w:t>
      </w:r>
      <w:r w:rsidR="0009687F">
        <w:t xml:space="preserve">garment </w:t>
      </w:r>
      <w:r w:rsidR="007D1568">
        <w:t xml:space="preserve">suppliers to rate their buyers’ purchasing practices. </w:t>
      </w:r>
      <w:r w:rsidR="0009687F">
        <w:t xml:space="preserve">Oxfam’s </w:t>
      </w:r>
      <w:hyperlink r:id="rId26" w:history="1">
        <w:r w:rsidR="0009687F" w:rsidRPr="000A2B1C">
          <w:rPr>
            <w:rStyle w:val="Hyperlink"/>
          </w:rPr>
          <w:t>Be</w:t>
        </w:r>
        <w:r w:rsidR="002F60C4" w:rsidRPr="000A2B1C">
          <w:rPr>
            <w:rStyle w:val="Hyperlink"/>
          </w:rPr>
          <w:t>hind the Barcodes</w:t>
        </w:r>
      </w:hyperlink>
      <w:r w:rsidR="006105D5">
        <w:rPr>
          <w:rStyle w:val="EndnoteReference"/>
          <w:color w:val="0563C1" w:themeColor="hyperlink"/>
          <w:u w:val="single"/>
        </w:rPr>
        <w:endnoteReference w:id="17"/>
      </w:r>
      <w:r w:rsidR="00224F2B">
        <w:t xml:space="preserve"> campaign </w:t>
      </w:r>
      <w:r w:rsidR="00915B14">
        <w:t xml:space="preserve">challenges </w:t>
      </w:r>
      <w:r w:rsidR="00224F2B">
        <w:t xml:space="preserve">supermarkets to improve policies towards their </w:t>
      </w:r>
      <w:r w:rsidR="006A7609">
        <w:t xml:space="preserve">food </w:t>
      </w:r>
      <w:r w:rsidR="00224F2B">
        <w:t>suppliers.</w:t>
      </w:r>
      <w:r w:rsidR="0008206A">
        <w:t xml:space="preserve"> </w:t>
      </w:r>
    </w:p>
    <w:p w14:paraId="13C667B1" w14:textId="77777777" w:rsidR="00996734" w:rsidRDefault="0008206A" w:rsidP="007A3F66">
      <w:r w:rsidRPr="0008206A">
        <w:rPr>
          <w:rFonts w:ascii="Calibri" w:hAnsi="Calibri"/>
          <w:shd w:val="clear" w:color="auto" w:fill="auto"/>
        </w:rPr>
        <w:t>The </w:t>
      </w:r>
      <w:hyperlink r:id="rId27" w:history="1">
        <w:r w:rsidRPr="0008206A">
          <w:rPr>
            <w:rStyle w:val="Hyperlink"/>
          </w:rPr>
          <w:t>Corporate Human Rights Benchmark</w:t>
        </w:r>
      </w:hyperlink>
      <w:r w:rsidR="006105D5">
        <w:rPr>
          <w:rStyle w:val="EndnoteReference"/>
          <w:color w:val="0563C1" w:themeColor="hyperlink"/>
          <w:u w:val="single"/>
        </w:rPr>
        <w:endnoteReference w:id="18"/>
      </w:r>
      <w:r w:rsidR="006105D5">
        <w:rPr>
          <w:rFonts w:ascii="Calibri" w:hAnsi="Calibri"/>
          <w:shd w:val="clear" w:color="auto" w:fill="auto"/>
        </w:rPr>
        <w:t>,</w:t>
      </w:r>
      <w:r w:rsidR="00E77A1C">
        <w:t xml:space="preserve"> launched in 2016</w:t>
      </w:r>
      <w:r w:rsidR="008F7659">
        <w:t>,</w:t>
      </w:r>
      <w:r w:rsidR="00E77A1C">
        <w:t xml:space="preserve"> </w:t>
      </w:r>
      <w:r w:rsidR="008F7659">
        <w:t>rank</w:t>
      </w:r>
      <w:r w:rsidR="006105D5">
        <w:t>s</w:t>
      </w:r>
      <w:r w:rsidR="008F7659">
        <w:t xml:space="preserve"> </w:t>
      </w:r>
      <w:r w:rsidRPr="0008206A">
        <w:rPr>
          <w:rFonts w:ascii="Calibri" w:hAnsi="Calibri"/>
          <w:shd w:val="clear" w:color="auto" w:fill="auto"/>
        </w:rPr>
        <w:t xml:space="preserve">98 of the world's largest publicly traded companies, from </w:t>
      </w:r>
      <w:r w:rsidR="008F7659">
        <w:t>the agriculture, apparel and extractives industries</w:t>
      </w:r>
      <w:r w:rsidRPr="0008206A">
        <w:rPr>
          <w:rFonts w:ascii="Calibri" w:hAnsi="Calibri"/>
          <w:shd w:val="clear" w:color="auto" w:fill="auto"/>
        </w:rPr>
        <w:t>, on human rights performance</w:t>
      </w:r>
      <w:r w:rsidR="00C4278C">
        <w:t xml:space="preserve">. Its </w:t>
      </w:r>
      <w:hyperlink r:id="rId28" w:history="1">
        <w:r w:rsidR="00461857" w:rsidRPr="0075107F">
          <w:rPr>
            <w:rStyle w:val="Hyperlink"/>
          </w:rPr>
          <w:t>2018 progress report</w:t>
        </w:r>
      </w:hyperlink>
      <w:r w:rsidR="00461857">
        <w:t xml:space="preserve"> </w:t>
      </w:r>
      <w:r w:rsidR="00251A71">
        <w:t>not</w:t>
      </w:r>
      <w:r w:rsidR="00461857">
        <w:t>es</w:t>
      </w:r>
      <w:r w:rsidR="00251A71">
        <w:t xml:space="preserve"> that “While some leaders within sectors were identified</w:t>
      </w:r>
      <w:r w:rsidR="005F2E66">
        <w:t xml:space="preserve">… </w:t>
      </w:r>
      <w:r w:rsidR="00251A71">
        <w:t>large, listed companies are, in general, failing to demonstrate their respect for human rights in their operations</w:t>
      </w:r>
      <w:r w:rsidR="003C74F1">
        <w:t xml:space="preserve">.” Among the key takeaways from the report were lack of </w:t>
      </w:r>
      <w:r w:rsidR="003C74F1" w:rsidRPr="00996734">
        <w:rPr>
          <w:b/>
        </w:rPr>
        <w:t>leadership</w:t>
      </w:r>
      <w:r w:rsidR="00651AE9">
        <w:t>,</w:t>
      </w:r>
      <w:r w:rsidR="00EE153C">
        <w:t xml:space="preserve"> </w:t>
      </w:r>
      <w:r w:rsidR="00B9070C" w:rsidRPr="00996734">
        <w:rPr>
          <w:b/>
        </w:rPr>
        <w:t>commitment</w:t>
      </w:r>
      <w:r w:rsidR="00651AE9">
        <w:t xml:space="preserve"> and </w:t>
      </w:r>
      <w:r w:rsidR="00651AE9" w:rsidRPr="00996734">
        <w:rPr>
          <w:b/>
        </w:rPr>
        <w:t>stakeholder engagement</w:t>
      </w:r>
      <w:r w:rsidR="00B9070C">
        <w:t xml:space="preserve">. </w:t>
      </w:r>
    </w:p>
    <w:p w14:paraId="74F20383" w14:textId="28C888E4" w:rsidR="007D1568" w:rsidRDefault="00B9070C" w:rsidP="007A3F66">
      <w:r>
        <w:t>Th</w:t>
      </w:r>
      <w:r w:rsidR="00996734">
        <w:t>e</w:t>
      </w:r>
      <w:r>
        <w:t>se are the issues we hope to address in this session.</w:t>
      </w:r>
    </w:p>
    <w:p w14:paraId="780EC76A" w14:textId="13105C31" w:rsidR="00EF7BA5" w:rsidRPr="00AD0C02" w:rsidRDefault="00E14050" w:rsidP="00AD0C02">
      <w:pPr>
        <w:pStyle w:val="Heading2"/>
      </w:pPr>
      <w:r>
        <w:lastRenderedPageBreak/>
        <w:t xml:space="preserve">Living Wage </w:t>
      </w:r>
      <w:r w:rsidR="008F4D59">
        <w:t xml:space="preserve">perspectives </w:t>
      </w:r>
      <w:r w:rsidR="00996734">
        <w:t xml:space="preserve">of </w:t>
      </w:r>
      <w:r w:rsidR="007A7302">
        <w:t xml:space="preserve">the </w:t>
      </w:r>
      <w:r>
        <w:t>panel</w:t>
      </w:r>
    </w:p>
    <w:p w14:paraId="6FD8C6C3" w14:textId="724006D1" w:rsidR="0038775F" w:rsidRPr="0038775F" w:rsidRDefault="00393B79" w:rsidP="007A3F66">
      <w:pPr>
        <w:rPr>
          <w:sz w:val="22"/>
          <w:szCs w:val="22"/>
        </w:rPr>
      </w:pPr>
      <w:r w:rsidRPr="0038775F">
        <w:rPr>
          <w:sz w:val="22"/>
          <w:szCs w:val="22"/>
        </w:rPr>
        <w:t xml:space="preserve">Our panelists represent some of the major </w:t>
      </w:r>
      <w:r w:rsidR="00793200">
        <w:rPr>
          <w:sz w:val="22"/>
          <w:szCs w:val="22"/>
        </w:rPr>
        <w:t xml:space="preserve">current </w:t>
      </w:r>
      <w:r w:rsidR="00E14050" w:rsidRPr="0038775F">
        <w:rPr>
          <w:sz w:val="22"/>
          <w:szCs w:val="22"/>
        </w:rPr>
        <w:t xml:space="preserve">living wage </w:t>
      </w:r>
      <w:r w:rsidRPr="0038775F">
        <w:rPr>
          <w:sz w:val="22"/>
          <w:szCs w:val="22"/>
        </w:rPr>
        <w:t>initiatives</w:t>
      </w:r>
      <w:r w:rsidR="00E14050" w:rsidRPr="0038775F">
        <w:rPr>
          <w:sz w:val="22"/>
          <w:szCs w:val="22"/>
        </w:rPr>
        <w:t xml:space="preserve">, companies </w:t>
      </w:r>
      <w:r w:rsidR="00D4375A">
        <w:rPr>
          <w:sz w:val="22"/>
          <w:szCs w:val="22"/>
        </w:rPr>
        <w:t xml:space="preserve">that </w:t>
      </w:r>
      <w:r w:rsidR="00E14050" w:rsidRPr="0038775F">
        <w:rPr>
          <w:i/>
          <w:sz w:val="22"/>
          <w:szCs w:val="22"/>
        </w:rPr>
        <w:t>have</w:t>
      </w:r>
      <w:r w:rsidR="00E14050" w:rsidRPr="0038775F">
        <w:rPr>
          <w:sz w:val="22"/>
          <w:szCs w:val="22"/>
        </w:rPr>
        <w:t xml:space="preserve"> taken the leap of faith and </w:t>
      </w:r>
      <w:r w:rsidR="00BA6919" w:rsidRPr="0038775F">
        <w:rPr>
          <w:sz w:val="22"/>
          <w:szCs w:val="22"/>
        </w:rPr>
        <w:t>stakeholders that are supporting them to put their initiatives into practice</w:t>
      </w:r>
      <w:r w:rsidR="00DF6E8A" w:rsidRPr="0038775F">
        <w:rPr>
          <w:sz w:val="22"/>
          <w:szCs w:val="22"/>
        </w:rPr>
        <w:t>:</w:t>
      </w:r>
    </w:p>
    <w:p w14:paraId="77997804" w14:textId="736CC9B7" w:rsidR="00573E7B" w:rsidRDefault="00573E7B" w:rsidP="009F43B8">
      <w:pPr>
        <w:pStyle w:val="Heading3"/>
        <w:spacing w:after="0"/>
        <w:rPr>
          <w:rStyle w:val="IntenseReference"/>
        </w:rPr>
      </w:pPr>
      <w:r>
        <w:rPr>
          <w:rStyle w:val="IntenseReference"/>
        </w:rPr>
        <w:t>THE CORPORATE PERSPECTIVE</w:t>
      </w:r>
    </w:p>
    <w:p w14:paraId="5F86045A" w14:textId="675B9EA4" w:rsidR="00E01D67" w:rsidRPr="0038775F" w:rsidRDefault="00497CCA" w:rsidP="007A3F66">
      <w:pPr>
        <w:rPr>
          <w:sz w:val="22"/>
          <w:szCs w:val="22"/>
        </w:rPr>
      </w:pPr>
      <w:r w:rsidRPr="0038775F">
        <w:rPr>
          <w:sz w:val="22"/>
          <w:szCs w:val="22"/>
        </w:rPr>
        <w:t xml:space="preserve">One of the most notable developments in the living wage arena in recent years has been </w:t>
      </w:r>
      <w:hyperlink r:id="rId29" w:history="1">
        <w:r w:rsidRPr="0038775F">
          <w:rPr>
            <w:rStyle w:val="Hyperlink"/>
            <w:sz w:val="22"/>
            <w:szCs w:val="22"/>
          </w:rPr>
          <w:t>ACT</w:t>
        </w:r>
      </w:hyperlink>
      <w:r w:rsidRPr="0038775F">
        <w:rPr>
          <w:sz w:val="22"/>
          <w:szCs w:val="22"/>
        </w:rPr>
        <w:t xml:space="preserve"> </w:t>
      </w:r>
      <w:r w:rsidR="002D3C39" w:rsidRPr="0038775F">
        <w:rPr>
          <w:sz w:val="22"/>
          <w:szCs w:val="22"/>
        </w:rPr>
        <w:t xml:space="preserve">(Action, Collaboration, Transformation) </w:t>
      </w:r>
      <w:r w:rsidR="002A6012" w:rsidRPr="0038775F">
        <w:rPr>
          <w:sz w:val="22"/>
          <w:szCs w:val="22"/>
        </w:rPr>
        <w:t>–</w:t>
      </w:r>
      <w:r w:rsidRPr="0038775F">
        <w:rPr>
          <w:sz w:val="22"/>
          <w:szCs w:val="22"/>
        </w:rPr>
        <w:t xml:space="preserve"> </w:t>
      </w:r>
      <w:r w:rsidR="002A6012" w:rsidRPr="0038775F">
        <w:rPr>
          <w:sz w:val="22"/>
          <w:szCs w:val="22"/>
        </w:rPr>
        <w:t xml:space="preserve">a collaboration </w:t>
      </w:r>
      <w:r w:rsidR="002A6012" w:rsidRPr="0038775F">
        <w:rPr>
          <w:rFonts w:ascii="Calibri" w:hAnsi="Calibri" w:cs="Times New Roman"/>
          <w:sz w:val="22"/>
          <w:szCs w:val="22"/>
        </w:rPr>
        <w:t xml:space="preserve">of 20 global </w:t>
      </w:r>
      <w:r w:rsidR="002A6012" w:rsidRPr="0038775F">
        <w:rPr>
          <w:sz w:val="22"/>
          <w:szCs w:val="22"/>
        </w:rPr>
        <w:t xml:space="preserve">garment </w:t>
      </w:r>
      <w:r w:rsidR="002A6012" w:rsidRPr="0038775F">
        <w:rPr>
          <w:rFonts w:ascii="Calibri" w:hAnsi="Calibri" w:cs="Times New Roman"/>
          <w:sz w:val="22"/>
          <w:szCs w:val="22"/>
        </w:rPr>
        <w:t>brands and retailers and the Global Union Federation</w:t>
      </w:r>
      <w:r w:rsidR="00CC67A1">
        <w:rPr>
          <w:rFonts w:ascii="Calibri" w:hAnsi="Calibri" w:cs="Times New Roman"/>
          <w:sz w:val="22"/>
          <w:szCs w:val="22"/>
        </w:rPr>
        <w:t>,</w:t>
      </w:r>
      <w:r w:rsidR="002A6012" w:rsidRPr="0038775F">
        <w:rPr>
          <w:rFonts w:ascii="Calibri" w:hAnsi="Calibri" w:cs="Times New Roman"/>
          <w:sz w:val="22"/>
          <w:szCs w:val="22"/>
        </w:rPr>
        <w:t xml:space="preserve"> IndustriALL</w:t>
      </w:r>
      <w:r w:rsidR="00CC67A1">
        <w:rPr>
          <w:rFonts w:ascii="Calibri" w:hAnsi="Calibri" w:cs="Times New Roman"/>
          <w:sz w:val="22"/>
          <w:szCs w:val="22"/>
        </w:rPr>
        <w:t>,</w:t>
      </w:r>
      <w:r w:rsidR="002A6012" w:rsidRPr="0038775F">
        <w:rPr>
          <w:rFonts w:ascii="Calibri" w:hAnsi="Calibri" w:cs="Times New Roman"/>
          <w:sz w:val="22"/>
          <w:szCs w:val="22"/>
        </w:rPr>
        <w:t xml:space="preserve"> to achieve living wages in the garment, textile and footwear industry through freedom of association and collective bargaining. </w:t>
      </w:r>
      <w:r w:rsidR="00A00685" w:rsidRPr="0038775F">
        <w:rPr>
          <w:sz w:val="22"/>
          <w:szCs w:val="22"/>
        </w:rPr>
        <w:t xml:space="preserve">A </w:t>
      </w:r>
      <w:r w:rsidR="00E01D67" w:rsidRPr="0038775F">
        <w:rPr>
          <w:sz w:val="22"/>
          <w:szCs w:val="22"/>
        </w:rPr>
        <w:t xml:space="preserve">key member of ACT is H&amp;M. Following the launch of </w:t>
      </w:r>
      <w:r w:rsidR="002767A3" w:rsidRPr="0038775F">
        <w:rPr>
          <w:sz w:val="22"/>
          <w:szCs w:val="22"/>
        </w:rPr>
        <w:t>its</w:t>
      </w:r>
      <w:r w:rsidR="00E01D67" w:rsidRPr="0038775F">
        <w:rPr>
          <w:sz w:val="22"/>
          <w:szCs w:val="22"/>
        </w:rPr>
        <w:t xml:space="preserve"> </w:t>
      </w:r>
      <w:hyperlink r:id="rId30" w:history="1">
        <w:r w:rsidR="00E01D67" w:rsidRPr="0038775F">
          <w:rPr>
            <w:rStyle w:val="Hyperlink"/>
            <w:sz w:val="22"/>
            <w:szCs w:val="22"/>
          </w:rPr>
          <w:t>‘Fair Living Wage Roadmap’</w:t>
        </w:r>
      </w:hyperlink>
      <w:r w:rsidR="00E01D67" w:rsidRPr="0038775F">
        <w:rPr>
          <w:sz w:val="22"/>
          <w:szCs w:val="22"/>
        </w:rPr>
        <w:t xml:space="preserve"> </w:t>
      </w:r>
      <w:r w:rsidR="007B77EA">
        <w:rPr>
          <w:sz w:val="22"/>
          <w:szCs w:val="22"/>
        </w:rPr>
        <w:t>in</w:t>
      </w:r>
      <w:r w:rsidR="00E01D67" w:rsidRPr="0038775F">
        <w:rPr>
          <w:sz w:val="22"/>
          <w:szCs w:val="22"/>
        </w:rPr>
        <w:t xml:space="preserve"> 2013, </w:t>
      </w:r>
      <w:r w:rsidR="00AC616B">
        <w:rPr>
          <w:sz w:val="22"/>
          <w:szCs w:val="22"/>
        </w:rPr>
        <w:t xml:space="preserve"> it </w:t>
      </w:r>
      <w:r w:rsidR="002767A3" w:rsidRPr="0038775F">
        <w:rPr>
          <w:sz w:val="22"/>
          <w:szCs w:val="22"/>
        </w:rPr>
        <w:t xml:space="preserve">has </w:t>
      </w:r>
      <w:r w:rsidR="00DD18C6" w:rsidRPr="0038775F">
        <w:rPr>
          <w:sz w:val="22"/>
          <w:szCs w:val="22"/>
        </w:rPr>
        <w:t xml:space="preserve">been </w:t>
      </w:r>
      <w:r w:rsidR="005C08B9">
        <w:rPr>
          <w:sz w:val="22"/>
          <w:szCs w:val="22"/>
        </w:rPr>
        <w:t xml:space="preserve">leading </w:t>
      </w:r>
      <w:r w:rsidR="00DD18C6" w:rsidRPr="0038775F">
        <w:rPr>
          <w:sz w:val="22"/>
          <w:szCs w:val="22"/>
        </w:rPr>
        <w:t xml:space="preserve">ACT </w:t>
      </w:r>
      <w:r w:rsidR="005C08B9">
        <w:rPr>
          <w:sz w:val="22"/>
          <w:szCs w:val="22"/>
        </w:rPr>
        <w:t>member</w:t>
      </w:r>
      <w:r w:rsidR="00DD18C6" w:rsidRPr="0038775F">
        <w:rPr>
          <w:sz w:val="22"/>
          <w:szCs w:val="22"/>
        </w:rPr>
        <w:t xml:space="preserve">, particularly in Cambodia where 50% of </w:t>
      </w:r>
      <w:r w:rsidR="002C4C62" w:rsidRPr="0038775F">
        <w:rPr>
          <w:sz w:val="22"/>
          <w:szCs w:val="22"/>
        </w:rPr>
        <w:t>garment workers supply ACT members – the majority of them H&amp;M</w:t>
      </w:r>
    </w:p>
    <w:p w14:paraId="5322DAE9" w14:textId="33150D59" w:rsidR="0038775F" w:rsidRPr="0038775F" w:rsidRDefault="00D47C7D" w:rsidP="007A3F66">
      <w:pPr>
        <w:rPr>
          <w:sz w:val="22"/>
          <w:szCs w:val="22"/>
        </w:rPr>
      </w:pPr>
      <w:r w:rsidRPr="0038775F">
        <w:rPr>
          <w:b/>
          <w:sz w:val="22"/>
          <w:szCs w:val="22"/>
        </w:rPr>
        <w:t>Frank Hoffer</w:t>
      </w:r>
      <w:r w:rsidRPr="0038775F">
        <w:rPr>
          <w:sz w:val="22"/>
          <w:szCs w:val="22"/>
        </w:rPr>
        <w:t xml:space="preserve">, </w:t>
      </w:r>
      <w:r w:rsidR="001966D7" w:rsidRPr="0038775F">
        <w:rPr>
          <w:sz w:val="22"/>
          <w:szCs w:val="22"/>
        </w:rPr>
        <w:t>ACT</w:t>
      </w:r>
      <w:r w:rsidR="001966D7">
        <w:rPr>
          <w:sz w:val="22"/>
          <w:szCs w:val="22"/>
        </w:rPr>
        <w:t>’s</w:t>
      </w:r>
      <w:r w:rsidR="001966D7" w:rsidRPr="0038775F">
        <w:rPr>
          <w:sz w:val="22"/>
          <w:szCs w:val="22"/>
        </w:rPr>
        <w:t xml:space="preserve"> </w:t>
      </w:r>
      <w:r w:rsidRPr="0038775F">
        <w:rPr>
          <w:sz w:val="22"/>
          <w:szCs w:val="22"/>
        </w:rPr>
        <w:t xml:space="preserve">Executive </w:t>
      </w:r>
      <w:r w:rsidR="00E01D67" w:rsidRPr="0038775F">
        <w:rPr>
          <w:sz w:val="22"/>
          <w:szCs w:val="22"/>
        </w:rPr>
        <w:t>Director</w:t>
      </w:r>
      <w:r w:rsidR="009237AF">
        <w:rPr>
          <w:sz w:val="22"/>
          <w:szCs w:val="22"/>
        </w:rPr>
        <w:t>,</w:t>
      </w:r>
      <w:r w:rsidR="00E01D67" w:rsidRPr="0038775F">
        <w:rPr>
          <w:sz w:val="22"/>
          <w:szCs w:val="22"/>
        </w:rPr>
        <w:t xml:space="preserve"> and </w:t>
      </w:r>
      <w:r w:rsidR="00E01D67" w:rsidRPr="0038775F">
        <w:rPr>
          <w:b/>
          <w:sz w:val="22"/>
          <w:szCs w:val="22"/>
        </w:rPr>
        <w:t>Linda Ingolfsdottir</w:t>
      </w:r>
      <w:r w:rsidR="002D2CCF">
        <w:rPr>
          <w:b/>
          <w:sz w:val="22"/>
          <w:szCs w:val="22"/>
        </w:rPr>
        <w:t>,</w:t>
      </w:r>
      <w:r w:rsidR="002C4C62" w:rsidRPr="0038775F">
        <w:rPr>
          <w:sz w:val="22"/>
          <w:szCs w:val="22"/>
        </w:rPr>
        <w:t xml:space="preserve"> </w:t>
      </w:r>
      <w:r w:rsidR="00753084" w:rsidRPr="00753084">
        <w:rPr>
          <w:sz w:val="22"/>
          <w:szCs w:val="22"/>
        </w:rPr>
        <w:t xml:space="preserve">Strategy Lead-Fair Jobs at H&amp;M </w:t>
      </w:r>
      <w:r w:rsidR="002C4C62" w:rsidRPr="0038775F">
        <w:rPr>
          <w:sz w:val="22"/>
          <w:szCs w:val="22"/>
        </w:rPr>
        <w:t xml:space="preserve">will discuss </w:t>
      </w:r>
      <w:r w:rsidR="003632EC" w:rsidRPr="0038775F">
        <w:rPr>
          <w:sz w:val="22"/>
          <w:szCs w:val="22"/>
        </w:rPr>
        <w:t xml:space="preserve">what motivated ACT member companies to embark on this journey and </w:t>
      </w:r>
      <w:r w:rsidR="001134AD" w:rsidRPr="0038775F">
        <w:rPr>
          <w:sz w:val="22"/>
          <w:szCs w:val="22"/>
        </w:rPr>
        <w:t xml:space="preserve">how they overcome </w:t>
      </w:r>
      <w:r w:rsidR="004F103E">
        <w:rPr>
          <w:sz w:val="22"/>
          <w:szCs w:val="22"/>
        </w:rPr>
        <w:t xml:space="preserve">the </w:t>
      </w:r>
      <w:r w:rsidR="001134AD" w:rsidRPr="0038775F">
        <w:rPr>
          <w:sz w:val="22"/>
          <w:szCs w:val="22"/>
        </w:rPr>
        <w:t xml:space="preserve">challenges. </w:t>
      </w:r>
    </w:p>
    <w:p w14:paraId="20A2C772" w14:textId="77777777" w:rsidR="00716213" w:rsidRDefault="00716213" w:rsidP="009F43B8">
      <w:pPr>
        <w:pStyle w:val="Heading3"/>
        <w:spacing w:after="0"/>
        <w:rPr>
          <w:rStyle w:val="IntenseReference"/>
        </w:rPr>
      </w:pPr>
      <w:r>
        <w:rPr>
          <w:rStyle w:val="IntenseReference"/>
        </w:rPr>
        <w:t>THE TRADE UNION PERSPECTIVE</w:t>
      </w:r>
    </w:p>
    <w:p w14:paraId="36B04A57" w14:textId="7C097F65" w:rsidR="00A00685" w:rsidRPr="0038775F" w:rsidRDefault="001134AD" w:rsidP="007A3F66">
      <w:pPr>
        <w:rPr>
          <w:sz w:val="22"/>
          <w:szCs w:val="22"/>
        </w:rPr>
      </w:pPr>
      <w:r w:rsidRPr="0038775F">
        <w:rPr>
          <w:sz w:val="22"/>
          <w:szCs w:val="22"/>
        </w:rPr>
        <w:t xml:space="preserve">Trade unions are a crucial partner in any living wage initiative. Adequate minimum wages, together with </w:t>
      </w:r>
      <w:r w:rsidRPr="0038775F">
        <w:rPr>
          <w:b/>
          <w:sz w:val="22"/>
          <w:szCs w:val="22"/>
        </w:rPr>
        <w:t>c</w:t>
      </w:r>
      <w:r w:rsidRPr="0038775F">
        <w:rPr>
          <w:sz w:val="22"/>
          <w:szCs w:val="22"/>
        </w:rPr>
        <w:t>ollective bargaining,  can ensure</w:t>
      </w:r>
      <w:r w:rsidR="002D2CCF">
        <w:rPr>
          <w:sz w:val="22"/>
          <w:szCs w:val="22"/>
        </w:rPr>
        <w:t xml:space="preserve"> </w:t>
      </w:r>
      <w:r w:rsidR="002D2CCF" w:rsidRPr="0038775F">
        <w:rPr>
          <w:sz w:val="22"/>
          <w:szCs w:val="22"/>
        </w:rPr>
        <w:t>living wages</w:t>
      </w:r>
      <w:r w:rsidR="002D2CCF">
        <w:rPr>
          <w:sz w:val="22"/>
          <w:szCs w:val="22"/>
        </w:rPr>
        <w:t xml:space="preserve"> in a</w:t>
      </w:r>
      <w:r w:rsidRPr="0038775F">
        <w:rPr>
          <w:sz w:val="22"/>
          <w:szCs w:val="22"/>
        </w:rPr>
        <w:t xml:space="preserve"> fair and sustainable way. </w:t>
      </w:r>
      <w:r w:rsidR="00D07768">
        <w:rPr>
          <w:sz w:val="22"/>
          <w:szCs w:val="22"/>
        </w:rPr>
        <w:t xml:space="preserve">The </w:t>
      </w:r>
      <w:hyperlink r:id="rId31" w:history="1">
        <w:r w:rsidR="00D07768" w:rsidRPr="00D07768">
          <w:rPr>
            <w:rStyle w:val="Hyperlink"/>
            <w:sz w:val="22"/>
            <w:szCs w:val="22"/>
          </w:rPr>
          <w:t>ITUC</w:t>
        </w:r>
      </w:hyperlink>
      <w:r w:rsidR="001966D7">
        <w:rPr>
          <w:rStyle w:val="EndnoteReference"/>
          <w:color w:val="0563C1" w:themeColor="hyperlink"/>
          <w:sz w:val="22"/>
          <w:szCs w:val="22"/>
          <w:u w:val="single"/>
        </w:rPr>
        <w:endnoteReference w:id="19"/>
      </w:r>
      <w:r w:rsidR="00D07768">
        <w:rPr>
          <w:sz w:val="22"/>
          <w:szCs w:val="22"/>
        </w:rPr>
        <w:t xml:space="preserve"> and other unions </w:t>
      </w:r>
      <w:r w:rsidR="001859FA" w:rsidRPr="0038775F">
        <w:rPr>
          <w:sz w:val="22"/>
          <w:szCs w:val="22"/>
        </w:rPr>
        <w:t xml:space="preserve">are </w:t>
      </w:r>
      <w:r w:rsidRPr="0038775F">
        <w:rPr>
          <w:sz w:val="22"/>
          <w:szCs w:val="22"/>
        </w:rPr>
        <w:t>call</w:t>
      </w:r>
      <w:r w:rsidR="001859FA" w:rsidRPr="0038775F">
        <w:rPr>
          <w:sz w:val="22"/>
          <w:szCs w:val="22"/>
        </w:rPr>
        <w:t>ing</w:t>
      </w:r>
      <w:r w:rsidRPr="0038775F">
        <w:rPr>
          <w:sz w:val="22"/>
          <w:szCs w:val="22"/>
        </w:rPr>
        <w:t xml:space="preserve"> </w:t>
      </w:r>
      <w:r w:rsidR="001859FA" w:rsidRPr="0038775F">
        <w:rPr>
          <w:sz w:val="22"/>
          <w:szCs w:val="22"/>
        </w:rPr>
        <w:t xml:space="preserve">on governments to set minimum living wages based on </w:t>
      </w:r>
      <w:r w:rsidR="00ED03DC" w:rsidRPr="0038775F">
        <w:rPr>
          <w:sz w:val="22"/>
          <w:szCs w:val="22"/>
        </w:rPr>
        <w:t>a ‘</w:t>
      </w:r>
      <w:r w:rsidR="00ED03DC" w:rsidRPr="0038775F">
        <w:rPr>
          <w:i/>
          <w:sz w:val="22"/>
          <w:szCs w:val="22"/>
        </w:rPr>
        <w:t>basic</w:t>
      </w:r>
      <w:r w:rsidR="00ED03DC" w:rsidRPr="0038775F">
        <w:rPr>
          <w:sz w:val="22"/>
          <w:szCs w:val="22"/>
        </w:rPr>
        <w:t xml:space="preserve"> goods basket’ applicable to all countries</w:t>
      </w:r>
      <w:r w:rsidR="00AD6EB6">
        <w:rPr>
          <w:sz w:val="22"/>
          <w:szCs w:val="22"/>
        </w:rPr>
        <w:t>,</w:t>
      </w:r>
      <w:r w:rsidR="00ED03DC" w:rsidRPr="0038775F">
        <w:rPr>
          <w:sz w:val="22"/>
          <w:szCs w:val="22"/>
        </w:rPr>
        <w:t xml:space="preserve"> </w:t>
      </w:r>
      <w:r w:rsidR="001859FA" w:rsidRPr="0038775F">
        <w:rPr>
          <w:sz w:val="22"/>
          <w:szCs w:val="22"/>
        </w:rPr>
        <w:t xml:space="preserve">and with full involvement of social partners. </w:t>
      </w:r>
      <w:r w:rsidR="006C7CBF" w:rsidRPr="0038775F">
        <w:rPr>
          <w:sz w:val="22"/>
          <w:szCs w:val="22"/>
        </w:rPr>
        <w:t>IndustriALL</w:t>
      </w:r>
      <w:r w:rsidR="00C62882" w:rsidRPr="0038775F">
        <w:rPr>
          <w:sz w:val="22"/>
          <w:szCs w:val="22"/>
        </w:rPr>
        <w:t xml:space="preserve"> Bangladesh Council </w:t>
      </w:r>
      <w:r w:rsidR="00F63693" w:rsidRPr="0038775F">
        <w:rPr>
          <w:sz w:val="22"/>
          <w:szCs w:val="22"/>
        </w:rPr>
        <w:t xml:space="preserve">(IBC) </w:t>
      </w:r>
      <w:r w:rsidR="00A14D0B" w:rsidRPr="0038775F">
        <w:rPr>
          <w:sz w:val="22"/>
          <w:szCs w:val="22"/>
        </w:rPr>
        <w:t>is</w:t>
      </w:r>
      <w:r w:rsidR="00C62882" w:rsidRPr="0038775F">
        <w:rPr>
          <w:sz w:val="22"/>
          <w:szCs w:val="22"/>
        </w:rPr>
        <w:t xml:space="preserve"> made up of IndustriALL Global Union affiliates in Bangladesh</w:t>
      </w:r>
      <w:r w:rsidR="00895F58">
        <w:rPr>
          <w:sz w:val="22"/>
          <w:szCs w:val="22"/>
        </w:rPr>
        <w:t xml:space="preserve"> who play a crucial role in </w:t>
      </w:r>
      <w:r w:rsidR="00125835" w:rsidRPr="0038775F">
        <w:rPr>
          <w:sz w:val="22"/>
          <w:szCs w:val="22"/>
        </w:rPr>
        <w:t xml:space="preserve">initiatives such as the Bangladesh Accord on Fire and Building Safety </w:t>
      </w:r>
      <w:r w:rsidR="00D5762A" w:rsidRPr="0038775F">
        <w:rPr>
          <w:sz w:val="22"/>
          <w:szCs w:val="22"/>
        </w:rPr>
        <w:t>after the deadly collapse of the Rana Plaza factory. While building safety may be improving, wages continue to be a huge issue for Bangladeshi garment workers</w:t>
      </w:r>
      <w:r w:rsidR="000B1D14">
        <w:rPr>
          <w:sz w:val="22"/>
          <w:szCs w:val="22"/>
        </w:rPr>
        <w:t>;</w:t>
      </w:r>
      <w:r w:rsidR="00A14D0B" w:rsidRPr="0038775F">
        <w:rPr>
          <w:sz w:val="22"/>
          <w:szCs w:val="22"/>
        </w:rPr>
        <w:t xml:space="preserve"> w</w:t>
      </w:r>
      <w:r w:rsidR="00D5762A" w:rsidRPr="0038775F">
        <w:rPr>
          <w:sz w:val="22"/>
          <w:szCs w:val="22"/>
        </w:rPr>
        <w:t>hen the minimum wage was recently increased</w:t>
      </w:r>
      <w:r w:rsidR="00D772C1">
        <w:rPr>
          <w:sz w:val="22"/>
          <w:szCs w:val="22"/>
        </w:rPr>
        <w:t xml:space="preserve"> by </w:t>
      </w:r>
      <w:r w:rsidR="00D772C1" w:rsidRPr="0038775F">
        <w:rPr>
          <w:sz w:val="22"/>
          <w:szCs w:val="22"/>
        </w:rPr>
        <w:t>51%</w:t>
      </w:r>
      <w:r w:rsidR="00D5762A" w:rsidRPr="0038775F">
        <w:rPr>
          <w:sz w:val="22"/>
          <w:szCs w:val="22"/>
        </w:rPr>
        <w:t xml:space="preserve">, </w:t>
      </w:r>
      <w:hyperlink r:id="rId32" w:history="1">
        <w:r w:rsidR="00F63693" w:rsidRPr="006353D4">
          <w:rPr>
            <w:rStyle w:val="Hyperlink"/>
            <w:sz w:val="22"/>
            <w:szCs w:val="22"/>
          </w:rPr>
          <w:t xml:space="preserve">IBC </w:t>
        </w:r>
        <w:r w:rsidR="00C62882" w:rsidRPr="006353D4">
          <w:rPr>
            <w:rStyle w:val="Hyperlink"/>
            <w:sz w:val="22"/>
            <w:szCs w:val="22"/>
          </w:rPr>
          <w:t>p</w:t>
        </w:r>
        <w:r w:rsidR="006C3B9A" w:rsidRPr="006353D4">
          <w:rPr>
            <w:rStyle w:val="Hyperlink"/>
            <w:sz w:val="22"/>
            <w:szCs w:val="22"/>
          </w:rPr>
          <w:t>ointed out</w:t>
        </w:r>
      </w:hyperlink>
      <w:r w:rsidR="006C3B9A" w:rsidRPr="0038775F">
        <w:rPr>
          <w:sz w:val="22"/>
          <w:szCs w:val="22"/>
        </w:rPr>
        <w:t xml:space="preserve"> that</w:t>
      </w:r>
      <w:r w:rsidR="003C5D7E" w:rsidRPr="0038775F">
        <w:rPr>
          <w:sz w:val="22"/>
          <w:szCs w:val="22"/>
        </w:rPr>
        <w:t xml:space="preserve"> the level was still “</w:t>
      </w:r>
      <w:r w:rsidR="00A00685" w:rsidRPr="0038775F">
        <w:rPr>
          <w:sz w:val="22"/>
          <w:szCs w:val="22"/>
        </w:rPr>
        <w:t>inadequate to meet the living costs of Bangladeshi garment workers</w:t>
      </w:r>
      <w:r w:rsidR="003C5D7E" w:rsidRPr="0038775F">
        <w:rPr>
          <w:sz w:val="22"/>
          <w:szCs w:val="22"/>
        </w:rPr>
        <w:t xml:space="preserve">” as </w:t>
      </w:r>
      <w:r w:rsidR="00A00685" w:rsidRPr="0038775F">
        <w:rPr>
          <w:sz w:val="22"/>
          <w:szCs w:val="22"/>
        </w:rPr>
        <w:t>rent and other living costs have also increased.</w:t>
      </w:r>
    </w:p>
    <w:p w14:paraId="394E2B51" w14:textId="6CA489C2" w:rsidR="0038775F" w:rsidRPr="0038775F" w:rsidRDefault="008F4D59" w:rsidP="007A3F66">
      <w:pPr>
        <w:rPr>
          <w:sz w:val="22"/>
          <w:szCs w:val="22"/>
        </w:rPr>
      </w:pPr>
      <w:r w:rsidRPr="0038775F">
        <w:rPr>
          <w:b/>
          <w:sz w:val="22"/>
          <w:szCs w:val="22"/>
        </w:rPr>
        <w:t>Towhidur Rahman</w:t>
      </w:r>
      <w:r w:rsidR="00B512CA" w:rsidRPr="00B512CA">
        <w:rPr>
          <w:sz w:val="22"/>
          <w:szCs w:val="22"/>
        </w:rPr>
        <w:t>,</w:t>
      </w:r>
      <w:r w:rsidRPr="0038775F">
        <w:rPr>
          <w:b/>
          <w:sz w:val="22"/>
          <w:szCs w:val="22"/>
        </w:rPr>
        <w:t xml:space="preserve"> </w:t>
      </w:r>
      <w:r w:rsidR="00F63693" w:rsidRPr="0038775F">
        <w:rPr>
          <w:sz w:val="22"/>
          <w:szCs w:val="22"/>
        </w:rPr>
        <w:t xml:space="preserve">IBC </w:t>
      </w:r>
      <w:r w:rsidR="006765EE" w:rsidRPr="0038775F">
        <w:rPr>
          <w:sz w:val="22"/>
          <w:szCs w:val="22"/>
        </w:rPr>
        <w:t xml:space="preserve">Secretary General, </w:t>
      </w:r>
      <w:r w:rsidRPr="0038775F">
        <w:rPr>
          <w:sz w:val="22"/>
          <w:szCs w:val="22"/>
        </w:rPr>
        <w:t xml:space="preserve">and </w:t>
      </w:r>
      <w:r w:rsidRPr="0038775F">
        <w:rPr>
          <w:b/>
          <w:sz w:val="22"/>
          <w:szCs w:val="22"/>
        </w:rPr>
        <w:t>Evelyn Astor</w:t>
      </w:r>
      <w:r w:rsidR="00B512CA" w:rsidRPr="00B512CA">
        <w:rPr>
          <w:sz w:val="22"/>
          <w:szCs w:val="22"/>
        </w:rPr>
        <w:t>,</w:t>
      </w:r>
      <w:r w:rsidRPr="0038775F">
        <w:rPr>
          <w:sz w:val="22"/>
          <w:szCs w:val="22"/>
        </w:rPr>
        <w:t xml:space="preserve"> </w:t>
      </w:r>
      <w:r w:rsidR="00C03962" w:rsidRPr="0038775F">
        <w:rPr>
          <w:sz w:val="22"/>
          <w:szCs w:val="22"/>
        </w:rPr>
        <w:t xml:space="preserve">Policy Officer at </w:t>
      </w:r>
      <w:r w:rsidR="00C94363">
        <w:rPr>
          <w:sz w:val="22"/>
          <w:szCs w:val="22"/>
        </w:rPr>
        <w:t xml:space="preserve">ITUC </w:t>
      </w:r>
      <w:r w:rsidR="001A6860" w:rsidRPr="0038775F">
        <w:rPr>
          <w:sz w:val="22"/>
          <w:szCs w:val="22"/>
        </w:rPr>
        <w:t>will stimulate discussion on how trade unions can work with companies and governments to get the right conditions in place to ensure workers have enough to live on.</w:t>
      </w:r>
    </w:p>
    <w:p w14:paraId="42C16DFE" w14:textId="6F86C7DF" w:rsidR="008A1106" w:rsidRDefault="008A1106" w:rsidP="009F43B8">
      <w:pPr>
        <w:pStyle w:val="Heading3"/>
        <w:spacing w:after="0"/>
        <w:rPr>
          <w:rStyle w:val="IntenseReference"/>
        </w:rPr>
      </w:pPr>
      <w:r>
        <w:rPr>
          <w:rStyle w:val="IntenseReference"/>
        </w:rPr>
        <w:t>THE NGO PERSPECTIVE</w:t>
      </w:r>
    </w:p>
    <w:p w14:paraId="0E57662C" w14:textId="069DE06D" w:rsidR="00656663" w:rsidRPr="0038775F" w:rsidRDefault="00D05F39" w:rsidP="005217B8">
      <w:pPr>
        <w:rPr>
          <w:sz w:val="22"/>
          <w:szCs w:val="22"/>
        </w:rPr>
      </w:pPr>
      <w:r w:rsidRPr="0038775F">
        <w:rPr>
          <w:sz w:val="22"/>
          <w:szCs w:val="22"/>
        </w:rPr>
        <w:t xml:space="preserve">Oxfam is </w:t>
      </w:r>
      <w:r w:rsidR="00423BEC" w:rsidRPr="0038775F">
        <w:rPr>
          <w:sz w:val="22"/>
          <w:szCs w:val="22"/>
        </w:rPr>
        <w:t xml:space="preserve">a global </w:t>
      </w:r>
      <w:r w:rsidRPr="0038775F">
        <w:rPr>
          <w:sz w:val="22"/>
          <w:szCs w:val="22"/>
        </w:rPr>
        <w:t>organisation working to overcome poverty – including</w:t>
      </w:r>
      <w:r w:rsidR="007A3F66" w:rsidRPr="0038775F">
        <w:rPr>
          <w:sz w:val="22"/>
          <w:szCs w:val="22"/>
        </w:rPr>
        <w:t xml:space="preserve"> in-work poverty</w:t>
      </w:r>
      <w:r w:rsidRPr="0038775F">
        <w:rPr>
          <w:sz w:val="22"/>
          <w:szCs w:val="22"/>
        </w:rPr>
        <w:t xml:space="preserve">. </w:t>
      </w:r>
      <w:r w:rsidR="006206FE" w:rsidRPr="0038775F">
        <w:rPr>
          <w:sz w:val="22"/>
          <w:szCs w:val="22"/>
        </w:rPr>
        <w:t xml:space="preserve">Oxfam believes that access to decent work on a living wage is a fundamental pathway out of poverty, and one of the best ways to counter </w:t>
      </w:r>
      <w:r w:rsidR="000B3ED5" w:rsidRPr="0038775F">
        <w:rPr>
          <w:sz w:val="22"/>
          <w:szCs w:val="22"/>
        </w:rPr>
        <w:t xml:space="preserve">the </w:t>
      </w:r>
      <w:r w:rsidR="006206FE" w:rsidRPr="0038775F">
        <w:rPr>
          <w:sz w:val="22"/>
          <w:szCs w:val="22"/>
        </w:rPr>
        <w:t>growing inequality</w:t>
      </w:r>
      <w:r w:rsidR="000B3ED5" w:rsidRPr="0038775F">
        <w:rPr>
          <w:sz w:val="22"/>
          <w:szCs w:val="22"/>
        </w:rPr>
        <w:t xml:space="preserve"> it has been reporting on annually</w:t>
      </w:r>
      <w:r w:rsidR="00043B22" w:rsidRPr="0038775F">
        <w:rPr>
          <w:sz w:val="22"/>
          <w:szCs w:val="22"/>
        </w:rPr>
        <w:t xml:space="preserve">. </w:t>
      </w:r>
      <w:r w:rsidR="00145896" w:rsidRPr="0038775F">
        <w:rPr>
          <w:sz w:val="22"/>
          <w:szCs w:val="22"/>
        </w:rPr>
        <w:t xml:space="preserve">Oxfam </w:t>
      </w:r>
      <w:r w:rsidR="00043B22" w:rsidRPr="0038775F">
        <w:rPr>
          <w:sz w:val="22"/>
          <w:szCs w:val="22"/>
        </w:rPr>
        <w:t xml:space="preserve">is demonstrating this </w:t>
      </w:r>
      <w:r w:rsidR="00423BEC" w:rsidRPr="0038775F">
        <w:rPr>
          <w:sz w:val="22"/>
          <w:szCs w:val="22"/>
        </w:rPr>
        <w:t xml:space="preserve">through campaigns such as Behind the Barcodes, </w:t>
      </w:r>
      <w:r w:rsidR="000B3ED5" w:rsidRPr="0038775F">
        <w:rPr>
          <w:sz w:val="22"/>
          <w:szCs w:val="22"/>
        </w:rPr>
        <w:t xml:space="preserve">and </w:t>
      </w:r>
      <w:r w:rsidR="00145896" w:rsidRPr="0038775F">
        <w:rPr>
          <w:sz w:val="22"/>
          <w:szCs w:val="22"/>
        </w:rPr>
        <w:t xml:space="preserve">through its </w:t>
      </w:r>
      <w:r w:rsidR="00043B22" w:rsidRPr="0038775F">
        <w:rPr>
          <w:sz w:val="22"/>
          <w:szCs w:val="22"/>
        </w:rPr>
        <w:t xml:space="preserve">leading role in </w:t>
      </w:r>
      <w:r w:rsidR="000B3ED5" w:rsidRPr="0038775F">
        <w:rPr>
          <w:sz w:val="22"/>
          <w:szCs w:val="22"/>
        </w:rPr>
        <w:t xml:space="preserve">projects such as </w:t>
      </w:r>
      <w:r w:rsidR="00043B22" w:rsidRPr="0038775F">
        <w:rPr>
          <w:sz w:val="22"/>
          <w:szCs w:val="22"/>
        </w:rPr>
        <w:t xml:space="preserve">the </w:t>
      </w:r>
      <w:hyperlink r:id="rId33" w:history="1">
        <w:r w:rsidR="00043B22" w:rsidRPr="0038775F">
          <w:rPr>
            <w:rStyle w:val="Hyperlink"/>
            <w:sz w:val="22"/>
            <w:szCs w:val="22"/>
          </w:rPr>
          <w:t>Malawi 2020 Tea initiative</w:t>
        </w:r>
      </w:hyperlink>
      <w:r w:rsidR="001966D7">
        <w:rPr>
          <w:rStyle w:val="EndnoteReference"/>
          <w:color w:val="0563C1" w:themeColor="hyperlink"/>
          <w:sz w:val="22"/>
          <w:szCs w:val="22"/>
          <w:u w:val="single"/>
        </w:rPr>
        <w:endnoteReference w:id="20"/>
      </w:r>
      <w:r w:rsidR="00043B22" w:rsidRPr="0038775F">
        <w:rPr>
          <w:sz w:val="22"/>
          <w:szCs w:val="22"/>
        </w:rPr>
        <w:t xml:space="preserve">, with the Ethical Tea Partnership, IDH and a range of partners along the value chain. </w:t>
      </w:r>
    </w:p>
    <w:p w14:paraId="58A122D0" w14:textId="4A626ED5" w:rsidR="00043B22" w:rsidRDefault="00043B22" w:rsidP="0081770E">
      <w:pPr>
        <w:rPr>
          <w:sz w:val="22"/>
          <w:szCs w:val="22"/>
        </w:rPr>
      </w:pPr>
      <w:r w:rsidRPr="0038775F">
        <w:rPr>
          <w:b/>
          <w:sz w:val="22"/>
          <w:szCs w:val="22"/>
        </w:rPr>
        <w:t>Rachel Wilshaw</w:t>
      </w:r>
      <w:r w:rsidRPr="0038775F">
        <w:rPr>
          <w:sz w:val="22"/>
          <w:szCs w:val="22"/>
        </w:rPr>
        <w:t xml:space="preserve">, </w:t>
      </w:r>
      <w:r w:rsidR="0081770E" w:rsidRPr="0038775F">
        <w:rPr>
          <w:sz w:val="22"/>
          <w:szCs w:val="22"/>
        </w:rPr>
        <w:t xml:space="preserve">Ethical Trade Manager </w:t>
      </w:r>
      <w:r w:rsidR="001966D7">
        <w:rPr>
          <w:sz w:val="22"/>
          <w:szCs w:val="22"/>
        </w:rPr>
        <w:t xml:space="preserve">at </w:t>
      </w:r>
      <w:r w:rsidR="0081770E" w:rsidRPr="0038775F">
        <w:rPr>
          <w:sz w:val="22"/>
          <w:szCs w:val="22"/>
        </w:rPr>
        <w:t xml:space="preserve">Oxfam GB will explain </w:t>
      </w:r>
      <w:r w:rsidR="009C7FEE" w:rsidRPr="0038775F">
        <w:rPr>
          <w:sz w:val="22"/>
          <w:szCs w:val="22"/>
        </w:rPr>
        <w:t xml:space="preserve">how NGOs have been able to help support companies </w:t>
      </w:r>
      <w:r w:rsidR="00F259C1">
        <w:rPr>
          <w:sz w:val="22"/>
          <w:szCs w:val="22"/>
        </w:rPr>
        <w:t>o</w:t>
      </w:r>
      <w:r w:rsidR="009C7FEE" w:rsidRPr="0038775F">
        <w:rPr>
          <w:sz w:val="22"/>
          <w:szCs w:val="22"/>
        </w:rPr>
        <w:t>n living wage and challenge</w:t>
      </w:r>
      <w:r w:rsidR="00F0237B">
        <w:rPr>
          <w:sz w:val="22"/>
          <w:szCs w:val="22"/>
        </w:rPr>
        <w:t xml:space="preserve"> participants</w:t>
      </w:r>
      <w:r w:rsidR="009C7FEE" w:rsidRPr="0038775F">
        <w:rPr>
          <w:sz w:val="22"/>
          <w:szCs w:val="22"/>
        </w:rPr>
        <w:t xml:space="preserve"> </w:t>
      </w:r>
      <w:r w:rsidR="00F0237B">
        <w:rPr>
          <w:sz w:val="22"/>
          <w:szCs w:val="22"/>
        </w:rPr>
        <w:t xml:space="preserve">to consider how </w:t>
      </w:r>
      <w:r w:rsidR="00F0237B" w:rsidRPr="00F259C1">
        <w:rPr>
          <w:i/>
          <w:sz w:val="22"/>
          <w:szCs w:val="22"/>
        </w:rPr>
        <w:t>they</w:t>
      </w:r>
      <w:r w:rsidR="00F0237B">
        <w:rPr>
          <w:sz w:val="22"/>
          <w:szCs w:val="22"/>
        </w:rPr>
        <w:t xml:space="preserve"> can </w:t>
      </w:r>
      <w:r w:rsidR="00F259C1">
        <w:rPr>
          <w:sz w:val="22"/>
          <w:szCs w:val="22"/>
        </w:rPr>
        <w:t>‘</w:t>
      </w:r>
      <w:r w:rsidR="00F0237B">
        <w:rPr>
          <w:sz w:val="22"/>
          <w:szCs w:val="22"/>
        </w:rPr>
        <w:t>take the leap of faith</w:t>
      </w:r>
      <w:r w:rsidR="00F259C1">
        <w:rPr>
          <w:sz w:val="22"/>
          <w:szCs w:val="22"/>
        </w:rPr>
        <w:t>’</w:t>
      </w:r>
      <w:r w:rsidR="009C7FEE" w:rsidRPr="0038775F">
        <w:rPr>
          <w:sz w:val="22"/>
          <w:szCs w:val="22"/>
        </w:rPr>
        <w:t>.</w:t>
      </w:r>
    </w:p>
    <w:sectPr w:rsidR="00043B22" w:rsidSect="00145896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31117" w14:textId="77777777" w:rsidR="00244C21" w:rsidRDefault="00244C21" w:rsidP="007A3F66">
      <w:r>
        <w:separator/>
      </w:r>
    </w:p>
  </w:endnote>
  <w:endnote w:type="continuationSeparator" w:id="0">
    <w:p w14:paraId="5A8FE904" w14:textId="77777777" w:rsidR="00244C21" w:rsidRDefault="00244C21" w:rsidP="007A3F66">
      <w:r>
        <w:continuationSeparator/>
      </w:r>
    </w:p>
  </w:endnote>
  <w:endnote w:id="1">
    <w:p w14:paraId="616D4D2C" w14:textId="4554160A" w:rsidR="00F83308" w:rsidRPr="005E4725" w:rsidRDefault="00F83308">
      <w:pPr>
        <w:pStyle w:val="EndnoteText"/>
        <w:rPr>
          <w:sz w:val="16"/>
          <w:szCs w:val="16"/>
          <w:lang w:val="en-GB"/>
        </w:rPr>
      </w:pPr>
      <w:r w:rsidRPr="005E4725">
        <w:rPr>
          <w:rStyle w:val="EndnoteReference"/>
          <w:sz w:val="16"/>
          <w:szCs w:val="16"/>
        </w:rPr>
        <w:endnoteRef/>
      </w:r>
      <w:r w:rsidRPr="005E4725">
        <w:rPr>
          <w:sz w:val="16"/>
          <w:szCs w:val="16"/>
        </w:rPr>
        <w:t xml:space="preserve"> </w:t>
      </w:r>
      <w:hyperlink r:id="rId1" w:history="1">
        <w:r w:rsidR="00373BAF" w:rsidRPr="005910E4">
          <w:rPr>
            <w:rStyle w:val="Hyperlink"/>
            <w:sz w:val="16"/>
            <w:szCs w:val="16"/>
          </w:rPr>
          <w:t>https://www.ituc-csi.org/l20-argentina-2018-economic-and</w:t>
        </w:r>
      </w:hyperlink>
      <w:r w:rsidR="00373BAF">
        <w:rPr>
          <w:sz w:val="16"/>
          <w:szCs w:val="16"/>
        </w:rPr>
        <w:t xml:space="preserve"> </w:t>
      </w:r>
    </w:p>
  </w:endnote>
  <w:endnote w:id="2">
    <w:p w14:paraId="1C1F3939" w14:textId="3C23391A" w:rsidR="00472890" w:rsidRPr="00806869" w:rsidRDefault="00472890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2" w:history="1">
        <w:r w:rsidR="00397AC4" w:rsidRPr="00806869">
          <w:rPr>
            <w:rStyle w:val="Hyperlink"/>
            <w:sz w:val="16"/>
            <w:szCs w:val="16"/>
          </w:rPr>
          <w:t>https://www.ethicaltrade.org/blog/its-not-fair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3">
    <w:p w14:paraId="0547A474" w14:textId="08AAD6F5" w:rsidR="00637148" w:rsidRPr="00806869" w:rsidRDefault="00637148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3" w:history="1">
        <w:r w:rsidR="00397AC4" w:rsidRPr="00806869">
          <w:rPr>
            <w:rStyle w:val="Hyperlink"/>
            <w:sz w:val="16"/>
            <w:szCs w:val="16"/>
          </w:rPr>
          <w:t>https://actonlivingwages.com/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4">
    <w:p w14:paraId="517E81DC" w14:textId="0FD4C8A1" w:rsidR="00637148" w:rsidRPr="00806869" w:rsidRDefault="00637148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4" w:history="1">
        <w:r w:rsidR="00397AC4" w:rsidRPr="00806869">
          <w:rPr>
            <w:rStyle w:val="Hyperlink"/>
            <w:sz w:val="16"/>
            <w:szCs w:val="16"/>
          </w:rPr>
          <w:t>https://shareaction.org/wp-content/uploads/2018/08/WDI-CaseStudy-Malawi.pdf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5">
    <w:p w14:paraId="35F4F559" w14:textId="28E37042" w:rsidR="00D62D31" w:rsidRPr="00806869" w:rsidRDefault="00D62D31">
      <w:pPr>
        <w:pStyle w:val="EndnoteText"/>
        <w:rPr>
          <w:b/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5" w:history="1">
        <w:r w:rsidR="00397AC4" w:rsidRPr="00806869">
          <w:rPr>
            <w:rStyle w:val="Hyperlink"/>
            <w:sz w:val="16"/>
            <w:szCs w:val="16"/>
          </w:rPr>
          <w:t>http://www.fao.org/world-banana-forum/projects/living-wage-advocacy-initiative-liwin/en/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6">
    <w:p w14:paraId="7DE34220" w14:textId="6037F0B7" w:rsidR="00D62D31" w:rsidRPr="00806869" w:rsidRDefault="00D62D31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6" w:history="1">
        <w:r w:rsidR="00397AC4" w:rsidRPr="00806869">
          <w:rPr>
            <w:rStyle w:val="Hyperlink"/>
            <w:sz w:val="16"/>
            <w:szCs w:val="16"/>
          </w:rPr>
          <w:t>http://www.fairfoodprogram.org/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7">
    <w:p w14:paraId="6C410BB9" w14:textId="5A66A9C1" w:rsidR="0098505C" w:rsidRPr="00806869" w:rsidRDefault="0098505C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7" w:history="1">
        <w:r w:rsidR="00397AC4" w:rsidRPr="00806869">
          <w:rPr>
            <w:rStyle w:val="Hyperlink"/>
            <w:sz w:val="16"/>
            <w:szCs w:val="16"/>
          </w:rPr>
          <w:t>https://eu.patagonia.com/gb/en/living-wage-vs-minimum-wage.html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8">
    <w:p w14:paraId="4C92E6C2" w14:textId="434A01ED" w:rsidR="0098505C" w:rsidRPr="00806869" w:rsidRDefault="0098505C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8" w:history="1">
        <w:r w:rsidR="00397AC4" w:rsidRPr="00806869">
          <w:rPr>
            <w:rStyle w:val="Hyperlink"/>
            <w:sz w:val="16"/>
            <w:szCs w:val="16"/>
          </w:rPr>
          <w:t>https://cdn.nudiejeans.com/media/files/Sustainability-Report-2017-Nudie-Jeans.pdf</w:t>
        </w:r>
      </w:hyperlink>
      <w:r w:rsidR="00397AC4" w:rsidRPr="00806869">
        <w:rPr>
          <w:sz w:val="16"/>
          <w:szCs w:val="16"/>
        </w:rPr>
        <w:t xml:space="preserve"> </w:t>
      </w:r>
    </w:p>
  </w:endnote>
  <w:endnote w:id="9">
    <w:p w14:paraId="6A179CEF" w14:textId="7EEDCF09" w:rsidR="00397AC4" w:rsidRPr="00806869" w:rsidRDefault="00397AC4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r w:rsidRPr="00806869">
        <w:rPr>
          <w:rStyle w:val="Hyperlink"/>
          <w:sz w:val="16"/>
          <w:szCs w:val="16"/>
        </w:rPr>
        <w:t>https://about.hm.com/en/media/news/general-news-2018/fair-living-wages--what-did-we-promise-and-what-progress-have-we.html</w:t>
      </w:r>
    </w:p>
  </w:endnote>
  <w:endnote w:id="10">
    <w:p w14:paraId="577B6014" w14:textId="19B19684" w:rsidR="00413671" w:rsidRPr="00806869" w:rsidRDefault="00413671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9" w:history="1">
        <w:r w:rsidRPr="00806869">
          <w:rPr>
            <w:rStyle w:val="Hyperlink"/>
            <w:sz w:val="16"/>
            <w:szCs w:val="16"/>
          </w:rPr>
          <w:t>https://www.globallivingwage.org/</w:t>
        </w:r>
      </w:hyperlink>
      <w:r w:rsidRPr="00806869">
        <w:rPr>
          <w:sz w:val="16"/>
          <w:szCs w:val="16"/>
        </w:rPr>
        <w:t xml:space="preserve"> </w:t>
      </w:r>
    </w:p>
  </w:endnote>
  <w:endnote w:id="11">
    <w:p w14:paraId="64EFCD57" w14:textId="32FFFEC1" w:rsidR="00410AAF" w:rsidRPr="00806869" w:rsidRDefault="00410AAF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0" w:history="1">
        <w:r w:rsidR="000B1D14" w:rsidRPr="005910E4">
          <w:rPr>
            <w:rStyle w:val="Hyperlink"/>
            <w:sz w:val="16"/>
            <w:szCs w:val="16"/>
          </w:rPr>
          <w:t>https://wageindicator.org/documents/publicationslist/publications-2016/van-klaveren-m-2016-wages-in-context-in-the-garment-industry-in-asia-amsterdam-wageindicator-foundation-april-28-2016</w:t>
        </w:r>
      </w:hyperlink>
      <w:r w:rsidR="000B1D14">
        <w:rPr>
          <w:sz w:val="16"/>
          <w:szCs w:val="16"/>
        </w:rPr>
        <w:t xml:space="preserve"> </w:t>
      </w:r>
    </w:p>
  </w:endnote>
  <w:endnote w:id="12">
    <w:p w14:paraId="7C86698A" w14:textId="22767FE3" w:rsidR="00413671" w:rsidRPr="00806869" w:rsidRDefault="00413671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1" w:history="1">
        <w:r w:rsidR="00CD17A1" w:rsidRPr="00806869">
          <w:rPr>
            <w:rStyle w:val="Hyperlink"/>
            <w:sz w:val="16"/>
            <w:szCs w:val="16"/>
          </w:rPr>
          <w:t>https://www.fairwear.org/living-wage-portal/leading-fwf-brands-push-pay-higher-wages/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3">
    <w:p w14:paraId="1C1D7643" w14:textId="41A87050" w:rsidR="008F680E" w:rsidRPr="00806869" w:rsidRDefault="008F680E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2" w:history="1">
        <w:r w:rsidR="00CD17A1" w:rsidRPr="00806869">
          <w:rPr>
            <w:rStyle w:val="Hyperlink"/>
            <w:sz w:val="16"/>
            <w:szCs w:val="16"/>
          </w:rPr>
          <w:t>https://cleanclothes.org/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4">
    <w:p w14:paraId="37EAAAE2" w14:textId="75800004" w:rsidR="00981660" w:rsidRPr="00806869" w:rsidRDefault="00981660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3" w:history="1">
        <w:r w:rsidR="00CD17A1" w:rsidRPr="00806869">
          <w:rPr>
            <w:rStyle w:val="Hyperlink"/>
            <w:sz w:val="16"/>
            <w:szCs w:val="16"/>
          </w:rPr>
          <w:t>https://www.livingwage.nl/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5">
    <w:p w14:paraId="0C089764" w14:textId="5D511E37" w:rsidR="00981660" w:rsidRPr="00806869" w:rsidRDefault="00981660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4" w:history="1">
        <w:r w:rsidR="00CD17A1" w:rsidRPr="00806869">
          <w:rPr>
            <w:rStyle w:val="Hyperlink"/>
            <w:sz w:val="16"/>
            <w:szCs w:val="16"/>
          </w:rPr>
          <w:t>https://shareaction.org/wdi/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6">
    <w:p w14:paraId="56982BE6" w14:textId="5CF4E01F" w:rsidR="006105D5" w:rsidRPr="00806869" w:rsidRDefault="006105D5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5" w:history="1">
        <w:r w:rsidR="00CD17A1" w:rsidRPr="00806869">
          <w:rPr>
            <w:rStyle w:val="Hyperlink"/>
            <w:sz w:val="16"/>
            <w:szCs w:val="16"/>
          </w:rPr>
          <w:t>https://betterbuying.org/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7">
    <w:p w14:paraId="4FD3F4EC" w14:textId="4F5516A6" w:rsidR="006105D5" w:rsidRPr="00806869" w:rsidRDefault="006105D5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6" w:history="1">
        <w:r w:rsidR="00CD17A1" w:rsidRPr="00806869">
          <w:rPr>
            <w:rStyle w:val="Hyperlink"/>
            <w:sz w:val="16"/>
            <w:szCs w:val="16"/>
          </w:rPr>
          <w:t>https://www.oxfam.org/en/pressroom/pressreleases/2018-06-21/poverty-and-inequality-major-ingredients-supermarket-supply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8">
    <w:p w14:paraId="627B8809" w14:textId="1CB77218" w:rsidR="006105D5" w:rsidRPr="00806869" w:rsidRDefault="006105D5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7" w:history="1">
        <w:r w:rsidR="00CD17A1" w:rsidRPr="00806869">
          <w:rPr>
            <w:rStyle w:val="Hyperlink"/>
            <w:sz w:val="16"/>
            <w:szCs w:val="16"/>
          </w:rPr>
          <w:t>https://www.corporatebenchmark.org/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19">
    <w:p w14:paraId="39C9B3AB" w14:textId="58AC122B" w:rsidR="001966D7" w:rsidRPr="00806869" w:rsidRDefault="001966D7">
      <w:pPr>
        <w:pStyle w:val="EndnoteText"/>
        <w:rPr>
          <w:sz w:val="16"/>
          <w:szCs w:val="16"/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8" w:history="1">
        <w:r w:rsidR="00CD17A1" w:rsidRPr="00806869">
          <w:rPr>
            <w:rStyle w:val="Hyperlink"/>
            <w:sz w:val="16"/>
            <w:szCs w:val="16"/>
          </w:rPr>
          <w:t>https://www.ituc-csi.org/wagescampaign</w:t>
        </w:r>
      </w:hyperlink>
      <w:r w:rsidR="00CD17A1" w:rsidRPr="00806869">
        <w:rPr>
          <w:sz w:val="16"/>
          <w:szCs w:val="16"/>
        </w:rPr>
        <w:t xml:space="preserve"> </w:t>
      </w:r>
    </w:p>
  </w:endnote>
  <w:endnote w:id="20">
    <w:p w14:paraId="3118AF22" w14:textId="4D630B21" w:rsidR="001966D7" w:rsidRPr="001966D7" w:rsidRDefault="001966D7">
      <w:pPr>
        <w:pStyle w:val="EndnoteText"/>
        <w:rPr>
          <w:lang w:val="en-GB"/>
        </w:rPr>
      </w:pPr>
      <w:r w:rsidRPr="00806869">
        <w:rPr>
          <w:rStyle w:val="EndnoteReference"/>
          <w:sz w:val="16"/>
          <w:szCs w:val="16"/>
        </w:rPr>
        <w:endnoteRef/>
      </w:r>
      <w:r w:rsidRPr="00806869">
        <w:rPr>
          <w:sz w:val="16"/>
          <w:szCs w:val="16"/>
        </w:rPr>
        <w:t xml:space="preserve"> </w:t>
      </w:r>
      <w:hyperlink r:id="rId19" w:history="1">
        <w:r w:rsidR="00CD17A1" w:rsidRPr="00806869">
          <w:rPr>
            <w:rStyle w:val="Hyperlink"/>
            <w:sz w:val="16"/>
            <w:szCs w:val="16"/>
          </w:rPr>
          <w:t>https://shareaction.org/wp-content/uploads/2018/08/WDI-CaseStudy-Malawi.pdf</w:t>
        </w:r>
      </w:hyperlink>
      <w:r w:rsidR="00CD17A1">
        <w:rPr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5123D" w14:textId="77777777" w:rsidR="00244C21" w:rsidRDefault="00244C21" w:rsidP="007A3F66">
      <w:r>
        <w:separator/>
      </w:r>
    </w:p>
  </w:footnote>
  <w:footnote w:type="continuationSeparator" w:id="0">
    <w:p w14:paraId="6BF71CB3" w14:textId="77777777" w:rsidR="00244C21" w:rsidRDefault="00244C21" w:rsidP="007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17CD5"/>
    <w:multiLevelType w:val="hybridMultilevel"/>
    <w:tmpl w:val="ABBA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66C73"/>
    <w:multiLevelType w:val="hybridMultilevel"/>
    <w:tmpl w:val="459E24D6"/>
    <w:lvl w:ilvl="0" w:tplc="F4D680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424BD"/>
    <w:multiLevelType w:val="hybridMultilevel"/>
    <w:tmpl w:val="1AE4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E1A39"/>
    <w:multiLevelType w:val="hybridMultilevel"/>
    <w:tmpl w:val="797C0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3E06CB"/>
    <w:multiLevelType w:val="hybridMultilevel"/>
    <w:tmpl w:val="2AC8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B4"/>
    <w:rsid w:val="00002270"/>
    <w:rsid w:val="00007634"/>
    <w:rsid w:val="0001280B"/>
    <w:rsid w:val="00017350"/>
    <w:rsid w:val="00025127"/>
    <w:rsid w:val="00033391"/>
    <w:rsid w:val="00043B22"/>
    <w:rsid w:val="00044BF8"/>
    <w:rsid w:val="0008206A"/>
    <w:rsid w:val="00085763"/>
    <w:rsid w:val="000861FD"/>
    <w:rsid w:val="00087FCF"/>
    <w:rsid w:val="0009687F"/>
    <w:rsid w:val="000A2B1C"/>
    <w:rsid w:val="000A667F"/>
    <w:rsid w:val="000B0CD2"/>
    <w:rsid w:val="000B14AB"/>
    <w:rsid w:val="000B1D14"/>
    <w:rsid w:val="000B3ED5"/>
    <w:rsid w:val="000B6AA1"/>
    <w:rsid w:val="000D26D9"/>
    <w:rsid w:val="000D471B"/>
    <w:rsid w:val="000D48B4"/>
    <w:rsid w:val="000F0A71"/>
    <w:rsid w:val="000F6A6A"/>
    <w:rsid w:val="001113F5"/>
    <w:rsid w:val="001134AD"/>
    <w:rsid w:val="001240E6"/>
    <w:rsid w:val="00125835"/>
    <w:rsid w:val="001321D6"/>
    <w:rsid w:val="00132C3C"/>
    <w:rsid w:val="00145896"/>
    <w:rsid w:val="001526CA"/>
    <w:rsid w:val="00152A74"/>
    <w:rsid w:val="001627E4"/>
    <w:rsid w:val="001655E3"/>
    <w:rsid w:val="00172578"/>
    <w:rsid w:val="00180179"/>
    <w:rsid w:val="00182731"/>
    <w:rsid w:val="001859FA"/>
    <w:rsid w:val="00195C51"/>
    <w:rsid w:val="001966D7"/>
    <w:rsid w:val="001A16B3"/>
    <w:rsid w:val="001A6860"/>
    <w:rsid w:val="001B7E53"/>
    <w:rsid w:val="001C6A31"/>
    <w:rsid w:val="001D02F4"/>
    <w:rsid w:val="001D0384"/>
    <w:rsid w:val="001E6CB8"/>
    <w:rsid w:val="00224F2B"/>
    <w:rsid w:val="0024387F"/>
    <w:rsid w:val="00244C21"/>
    <w:rsid w:val="00250429"/>
    <w:rsid w:val="002518A6"/>
    <w:rsid w:val="00251A71"/>
    <w:rsid w:val="0025286C"/>
    <w:rsid w:val="00254AF6"/>
    <w:rsid w:val="002767A3"/>
    <w:rsid w:val="002843E3"/>
    <w:rsid w:val="002A6012"/>
    <w:rsid w:val="002A693F"/>
    <w:rsid w:val="002C4B0A"/>
    <w:rsid w:val="002C4C62"/>
    <w:rsid w:val="002D2CCF"/>
    <w:rsid w:val="002D3C39"/>
    <w:rsid w:val="002E6768"/>
    <w:rsid w:val="002E7D6A"/>
    <w:rsid w:val="002F05F3"/>
    <w:rsid w:val="002F0CD3"/>
    <w:rsid w:val="002F1757"/>
    <w:rsid w:val="002F60C4"/>
    <w:rsid w:val="00301E15"/>
    <w:rsid w:val="003031D5"/>
    <w:rsid w:val="00310D30"/>
    <w:rsid w:val="003355C5"/>
    <w:rsid w:val="00353ADC"/>
    <w:rsid w:val="00357D48"/>
    <w:rsid w:val="003632EC"/>
    <w:rsid w:val="00367C4F"/>
    <w:rsid w:val="00367E68"/>
    <w:rsid w:val="00373BAF"/>
    <w:rsid w:val="0038775F"/>
    <w:rsid w:val="003919EB"/>
    <w:rsid w:val="00393B79"/>
    <w:rsid w:val="00397AC4"/>
    <w:rsid w:val="003A6B0E"/>
    <w:rsid w:val="003A72BA"/>
    <w:rsid w:val="003B032B"/>
    <w:rsid w:val="003B3710"/>
    <w:rsid w:val="003C5053"/>
    <w:rsid w:val="003C5D7E"/>
    <w:rsid w:val="003C74F1"/>
    <w:rsid w:val="003D22CD"/>
    <w:rsid w:val="003D5E95"/>
    <w:rsid w:val="003E022E"/>
    <w:rsid w:val="00401E6C"/>
    <w:rsid w:val="00410AAF"/>
    <w:rsid w:val="00413189"/>
    <w:rsid w:val="00413671"/>
    <w:rsid w:val="00413903"/>
    <w:rsid w:val="00423BEC"/>
    <w:rsid w:val="00425509"/>
    <w:rsid w:val="00433456"/>
    <w:rsid w:val="004556F6"/>
    <w:rsid w:val="00461857"/>
    <w:rsid w:val="00462799"/>
    <w:rsid w:val="004704FA"/>
    <w:rsid w:val="00472890"/>
    <w:rsid w:val="00472E87"/>
    <w:rsid w:val="00476628"/>
    <w:rsid w:val="00487AAF"/>
    <w:rsid w:val="00497CC5"/>
    <w:rsid w:val="00497CCA"/>
    <w:rsid w:val="004A465E"/>
    <w:rsid w:val="004E2D3D"/>
    <w:rsid w:val="004F103E"/>
    <w:rsid w:val="004F2DDD"/>
    <w:rsid w:val="004F4A25"/>
    <w:rsid w:val="00500749"/>
    <w:rsid w:val="005007B5"/>
    <w:rsid w:val="00507E6C"/>
    <w:rsid w:val="0051739A"/>
    <w:rsid w:val="005217B8"/>
    <w:rsid w:val="00525284"/>
    <w:rsid w:val="005311B8"/>
    <w:rsid w:val="00531C48"/>
    <w:rsid w:val="00560F33"/>
    <w:rsid w:val="00573E7B"/>
    <w:rsid w:val="00582820"/>
    <w:rsid w:val="0059295F"/>
    <w:rsid w:val="00595896"/>
    <w:rsid w:val="005B2EDD"/>
    <w:rsid w:val="005C08B9"/>
    <w:rsid w:val="005D0A57"/>
    <w:rsid w:val="005E4725"/>
    <w:rsid w:val="005E6A72"/>
    <w:rsid w:val="005F2A42"/>
    <w:rsid w:val="005F2E66"/>
    <w:rsid w:val="005F3B11"/>
    <w:rsid w:val="006043BA"/>
    <w:rsid w:val="00607517"/>
    <w:rsid w:val="00607CE1"/>
    <w:rsid w:val="006105D5"/>
    <w:rsid w:val="006206FE"/>
    <w:rsid w:val="00633824"/>
    <w:rsid w:val="006353D4"/>
    <w:rsid w:val="00635FB0"/>
    <w:rsid w:val="00637148"/>
    <w:rsid w:val="006472A5"/>
    <w:rsid w:val="00650166"/>
    <w:rsid w:val="00651AE9"/>
    <w:rsid w:val="00653DB2"/>
    <w:rsid w:val="00656663"/>
    <w:rsid w:val="00656D05"/>
    <w:rsid w:val="006765EE"/>
    <w:rsid w:val="00684DDF"/>
    <w:rsid w:val="006A1F94"/>
    <w:rsid w:val="006A1F97"/>
    <w:rsid w:val="006A6B37"/>
    <w:rsid w:val="006A7609"/>
    <w:rsid w:val="006C206B"/>
    <w:rsid w:val="006C2FFC"/>
    <w:rsid w:val="006C3B9A"/>
    <w:rsid w:val="006C3ED6"/>
    <w:rsid w:val="006C7CBF"/>
    <w:rsid w:val="006E359E"/>
    <w:rsid w:val="006E7D88"/>
    <w:rsid w:val="006F41F9"/>
    <w:rsid w:val="00707A04"/>
    <w:rsid w:val="007151BD"/>
    <w:rsid w:val="00715D94"/>
    <w:rsid w:val="00716213"/>
    <w:rsid w:val="00725F4A"/>
    <w:rsid w:val="0075107F"/>
    <w:rsid w:val="00753084"/>
    <w:rsid w:val="0075653E"/>
    <w:rsid w:val="00763805"/>
    <w:rsid w:val="00767A69"/>
    <w:rsid w:val="00772B90"/>
    <w:rsid w:val="00774111"/>
    <w:rsid w:val="00791112"/>
    <w:rsid w:val="00791FFC"/>
    <w:rsid w:val="00793200"/>
    <w:rsid w:val="007A1916"/>
    <w:rsid w:val="007A3F66"/>
    <w:rsid w:val="007A7302"/>
    <w:rsid w:val="007B1EC3"/>
    <w:rsid w:val="007B77EA"/>
    <w:rsid w:val="007D1568"/>
    <w:rsid w:val="007D2479"/>
    <w:rsid w:val="007D78D4"/>
    <w:rsid w:val="007F58FD"/>
    <w:rsid w:val="00806869"/>
    <w:rsid w:val="0081770E"/>
    <w:rsid w:val="00820D06"/>
    <w:rsid w:val="0082371B"/>
    <w:rsid w:val="00824E92"/>
    <w:rsid w:val="0082648D"/>
    <w:rsid w:val="00835D88"/>
    <w:rsid w:val="00854B1B"/>
    <w:rsid w:val="00856659"/>
    <w:rsid w:val="008672FD"/>
    <w:rsid w:val="00877446"/>
    <w:rsid w:val="00880A15"/>
    <w:rsid w:val="00880AA3"/>
    <w:rsid w:val="0088464A"/>
    <w:rsid w:val="0088776B"/>
    <w:rsid w:val="008925C7"/>
    <w:rsid w:val="008953C3"/>
    <w:rsid w:val="00895F58"/>
    <w:rsid w:val="008961B3"/>
    <w:rsid w:val="008A05BE"/>
    <w:rsid w:val="008A1106"/>
    <w:rsid w:val="008B4ECE"/>
    <w:rsid w:val="008B6BBC"/>
    <w:rsid w:val="008B72C1"/>
    <w:rsid w:val="008C7281"/>
    <w:rsid w:val="008E2AA3"/>
    <w:rsid w:val="008E7056"/>
    <w:rsid w:val="008F4D59"/>
    <w:rsid w:val="008F680E"/>
    <w:rsid w:val="008F7659"/>
    <w:rsid w:val="00915B14"/>
    <w:rsid w:val="009237AF"/>
    <w:rsid w:val="00923858"/>
    <w:rsid w:val="009238BB"/>
    <w:rsid w:val="00924CAD"/>
    <w:rsid w:val="0093544A"/>
    <w:rsid w:val="009656EE"/>
    <w:rsid w:val="009748EE"/>
    <w:rsid w:val="00980088"/>
    <w:rsid w:val="00981660"/>
    <w:rsid w:val="00983D43"/>
    <w:rsid w:val="0098505C"/>
    <w:rsid w:val="00996734"/>
    <w:rsid w:val="009C7FEE"/>
    <w:rsid w:val="009D1677"/>
    <w:rsid w:val="009D1BB6"/>
    <w:rsid w:val="009F43B8"/>
    <w:rsid w:val="009F4C61"/>
    <w:rsid w:val="00A00685"/>
    <w:rsid w:val="00A14D0B"/>
    <w:rsid w:val="00A305E0"/>
    <w:rsid w:val="00A42E72"/>
    <w:rsid w:val="00A46A1E"/>
    <w:rsid w:val="00A64938"/>
    <w:rsid w:val="00A70323"/>
    <w:rsid w:val="00A748FF"/>
    <w:rsid w:val="00A74E81"/>
    <w:rsid w:val="00A86869"/>
    <w:rsid w:val="00A93DE0"/>
    <w:rsid w:val="00AC578D"/>
    <w:rsid w:val="00AC616B"/>
    <w:rsid w:val="00AD0C02"/>
    <w:rsid w:val="00AD5541"/>
    <w:rsid w:val="00AD6EB6"/>
    <w:rsid w:val="00AF5DE4"/>
    <w:rsid w:val="00B47B47"/>
    <w:rsid w:val="00B512CA"/>
    <w:rsid w:val="00B56AAC"/>
    <w:rsid w:val="00B766F2"/>
    <w:rsid w:val="00B876B8"/>
    <w:rsid w:val="00B9070C"/>
    <w:rsid w:val="00B951E7"/>
    <w:rsid w:val="00BA0AD5"/>
    <w:rsid w:val="00BA6919"/>
    <w:rsid w:val="00BB3D9E"/>
    <w:rsid w:val="00BC773A"/>
    <w:rsid w:val="00BD5844"/>
    <w:rsid w:val="00BF54C1"/>
    <w:rsid w:val="00C03962"/>
    <w:rsid w:val="00C11D58"/>
    <w:rsid w:val="00C12140"/>
    <w:rsid w:val="00C21973"/>
    <w:rsid w:val="00C23DFD"/>
    <w:rsid w:val="00C31E4E"/>
    <w:rsid w:val="00C33C0C"/>
    <w:rsid w:val="00C4278C"/>
    <w:rsid w:val="00C54C69"/>
    <w:rsid w:val="00C625BC"/>
    <w:rsid w:val="00C62882"/>
    <w:rsid w:val="00C67F38"/>
    <w:rsid w:val="00C86137"/>
    <w:rsid w:val="00C90792"/>
    <w:rsid w:val="00C94363"/>
    <w:rsid w:val="00CB46E4"/>
    <w:rsid w:val="00CC67A1"/>
    <w:rsid w:val="00CD00D4"/>
    <w:rsid w:val="00CD17A1"/>
    <w:rsid w:val="00CD17CE"/>
    <w:rsid w:val="00CE10B0"/>
    <w:rsid w:val="00CF46E3"/>
    <w:rsid w:val="00D00942"/>
    <w:rsid w:val="00D05F39"/>
    <w:rsid w:val="00D07768"/>
    <w:rsid w:val="00D11EAF"/>
    <w:rsid w:val="00D11F98"/>
    <w:rsid w:val="00D136C3"/>
    <w:rsid w:val="00D14A6F"/>
    <w:rsid w:val="00D24B10"/>
    <w:rsid w:val="00D4375A"/>
    <w:rsid w:val="00D47C7D"/>
    <w:rsid w:val="00D522A9"/>
    <w:rsid w:val="00D54BAC"/>
    <w:rsid w:val="00D5762A"/>
    <w:rsid w:val="00D62D31"/>
    <w:rsid w:val="00D723A1"/>
    <w:rsid w:val="00D72A84"/>
    <w:rsid w:val="00D772C1"/>
    <w:rsid w:val="00D87743"/>
    <w:rsid w:val="00D94D91"/>
    <w:rsid w:val="00D97185"/>
    <w:rsid w:val="00DB106B"/>
    <w:rsid w:val="00DD18C6"/>
    <w:rsid w:val="00DE0E59"/>
    <w:rsid w:val="00DF6E8A"/>
    <w:rsid w:val="00E00C7E"/>
    <w:rsid w:val="00E01D67"/>
    <w:rsid w:val="00E02D97"/>
    <w:rsid w:val="00E07790"/>
    <w:rsid w:val="00E14050"/>
    <w:rsid w:val="00E318B2"/>
    <w:rsid w:val="00E54D89"/>
    <w:rsid w:val="00E616D6"/>
    <w:rsid w:val="00E77A1C"/>
    <w:rsid w:val="00E84B41"/>
    <w:rsid w:val="00E84CF1"/>
    <w:rsid w:val="00E85572"/>
    <w:rsid w:val="00E95962"/>
    <w:rsid w:val="00EA0AEA"/>
    <w:rsid w:val="00EA3CA4"/>
    <w:rsid w:val="00EA663E"/>
    <w:rsid w:val="00EB674D"/>
    <w:rsid w:val="00ED03DC"/>
    <w:rsid w:val="00ED6902"/>
    <w:rsid w:val="00EE153C"/>
    <w:rsid w:val="00EE7353"/>
    <w:rsid w:val="00EF3879"/>
    <w:rsid w:val="00EF3F14"/>
    <w:rsid w:val="00EF55A8"/>
    <w:rsid w:val="00EF7BA5"/>
    <w:rsid w:val="00F0237B"/>
    <w:rsid w:val="00F0255B"/>
    <w:rsid w:val="00F04948"/>
    <w:rsid w:val="00F141F5"/>
    <w:rsid w:val="00F250D9"/>
    <w:rsid w:val="00F259C1"/>
    <w:rsid w:val="00F40E5D"/>
    <w:rsid w:val="00F516C2"/>
    <w:rsid w:val="00F63693"/>
    <w:rsid w:val="00F70E3D"/>
    <w:rsid w:val="00F74E05"/>
    <w:rsid w:val="00F83308"/>
    <w:rsid w:val="00F83DB0"/>
    <w:rsid w:val="00F85C7B"/>
    <w:rsid w:val="00F91DF7"/>
    <w:rsid w:val="00FA61F1"/>
    <w:rsid w:val="00FB2AD1"/>
    <w:rsid w:val="00FB4685"/>
    <w:rsid w:val="00FB4847"/>
    <w:rsid w:val="00FC3043"/>
    <w:rsid w:val="00FD47DD"/>
    <w:rsid w:val="00FE067A"/>
    <w:rsid w:val="00FE68BE"/>
    <w:rsid w:val="00FF12C5"/>
    <w:rsid w:val="00FF2141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5AC72"/>
  <w15:chartTrackingRefBased/>
  <w15:docId w15:val="{FE58ACEC-6309-45D4-A90A-5801F359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589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eastAsia="Arial Unicode MS" w:cstheme="minorHAnsi"/>
      <w:sz w:val="21"/>
      <w:szCs w:val="24"/>
      <w:bdr w:val="nil"/>
      <w:shd w:val="clear" w:color="auto" w:fill="FFFFF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6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autoRedefine/>
    <w:qFormat/>
    <w:rsid w:val="00E84CF1"/>
    <w:pPr>
      <w:keepNext w:val="0"/>
      <w:keepLines w:val="0"/>
      <w:spacing w:before="100" w:beforeAutospacing="1" w:after="100" w:afterAutospacing="1"/>
    </w:pPr>
    <w:rPr>
      <w:rFonts w:eastAsia="Times New Roman" w:cstheme="majorHAnsi"/>
      <w:bCs/>
      <w:color w:val="2F5496"/>
      <w:sz w:val="28"/>
      <w:szCs w:val="28"/>
      <w:lang w:eastAsia="en-GB"/>
    </w:rPr>
  </w:style>
  <w:style w:type="character" w:customStyle="1" w:styleId="Style1Char">
    <w:name w:val="Style1 Char"/>
    <w:basedOn w:val="Heading2Char"/>
    <w:link w:val="Style1"/>
    <w:rsid w:val="00E84CF1"/>
    <w:rPr>
      <w:rFonts w:asciiTheme="majorHAnsi" w:eastAsia="Times New Roman" w:hAnsiTheme="majorHAnsi" w:cstheme="majorHAnsi"/>
      <w:bCs/>
      <w:color w:val="2F5496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84C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48B4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0D48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48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6B3"/>
    <w:rPr>
      <w:rFonts w:ascii="Calibri" w:eastAsia="Arial Unicode MS" w:hAnsi="Calibri" w:cs="Times New Roman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6B3"/>
    <w:rPr>
      <w:rFonts w:ascii="Calibri" w:eastAsia="Arial Unicode MS" w:hAnsi="Calibri" w:cs="Times New Roman"/>
      <w:szCs w:val="24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0128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A05BE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character" w:customStyle="1" w:styleId="m-6650449188740901206m-2658557013990017172preamble">
    <w:name w:val="m_-6650449188740901206m_-2658557013990017172preamble"/>
    <w:basedOn w:val="DefaultParagraphFont"/>
    <w:rsid w:val="00B56AAC"/>
  </w:style>
  <w:style w:type="character" w:styleId="IntenseReference">
    <w:name w:val="Intense Reference"/>
    <w:basedOn w:val="DefaultParagraphFont"/>
    <w:uiPriority w:val="32"/>
    <w:qFormat/>
    <w:rsid w:val="001526CA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84B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B41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A667F"/>
    <w:rPr>
      <w:rFonts w:asciiTheme="majorHAnsi" w:eastAsiaTheme="majorEastAsia" w:hAnsiTheme="majorHAnsi" w:cstheme="majorBidi"/>
      <w:i/>
      <w:iCs/>
      <w:color w:val="2F5496" w:themeColor="accent1" w:themeShade="BF"/>
      <w:szCs w:val="24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81770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289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890"/>
    <w:rPr>
      <w:rFonts w:eastAsia="Arial Unicode MS" w:cstheme="minorHAnsi"/>
      <w:sz w:val="20"/>
      <w:szCs w:val="20"/>
      <w:bdr w:val="nil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7289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2890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43BA"/>
    <w:pPr>
      <w:spacing w:after="0"/>
    </w:pPr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43BA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ageindicator.org/documents/publicationslist/publications-2016/van-klaveren-m-2016-wages-in-context-in-the-garment-industry-in-asia-amsterdam-wageindicator-foundation-april-28-2016" TargetMode="External"/><Relationship Id="rId21" Type="http://schemas.openxmlformats.org/officeDocument/2006/relationships/hyperlink" Target="https://www.fairwear.org/living-wage-portal-obstacles/living-wages-101/" TargetMode="External"/><Relationship Id="rId22" Type="http://schemas.openxmlformats.org/officeDocument/2006/relationships/hyperlink" Target="https://cleanclothes.org/" TargetMode="External"/><Relationship Id="rId23" Type="http://schemas.openxmlformats.org/officeDocument/2006/relationships/hyperlink" Target="https://www.livingwage.nl/" TargetMode="External"/><Relationship Id="rId24" Type="http://schemas.openxmlformats.org/officeDocument/2006/relationships/hyperlink" Target="https://shareaction.org/wdi/" TargetMode="External"/><Relationship Id="rId25" Type="http://schemas.openxmlformats.org/officeDocument/2006/relationships/hyperlink" Target="https://betterbuying.org/" TargetMode="External"/><Relationship Id="rId26" Type="http://schemas.openxmlformats.org/officeDocument/2006/relationships/hyperlink" Target="https://www.oxfam.org/en/pressroom/pressreleases/2018-06-21/poverty-and-inequality-major-ingredients-supermarket-supply" TargetMode="External"/><Relationship Id="rId27" Type="http://schemas.openxmlformats.org/officeDocument/2006/relationships/hyperlink" Target="https://www.corporatebenchmark.org/" TargetMode="External"/><Relationship Id="rId28" Type="http://schemas.openxmlformats.org/officeDocument/2006/relationships/hyperlink" Target="https://www.corporatebenchmark.org/sites/default/files/CHRB%202018%20Progress%20Report%20Web%20Final.pdf" TargetMode="External"/><Relationship Id="rId29" Type="http://schemas.openxmlformats.org/officeDocument/2006/relationships/hyperlink" Target="https://actonlivingwages.com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sustainability.hm.com/en/sustainability/commitments/choose-and-reward-responsible-partners/fair-living-wage.html" TargetMode="External"/><Relationship Id="rId31" Type="http://schemas.openxmlformats.org/officeDocument/2006/relationships/hyperlink" Target="https://www.ituc-csi.org/wagescampaign" TargetMode="External"/><Relationship Id="rId32" Type="http://schemas.openxmlformats.org/officeDocument/2006/relationships/hyperlink" Target="http://www.industriall-union.org/bangladeshi-unions-call-for-new-minimum-wage-to-be-doubled" TargetMode="External"/><Relationship Id="rId9" Type="http://schemas.openxmlformats.org/officeDocument/2006/relationships/hyperlink" Target="https://www.ethicaltrade.org/blog/its-not-fair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ituc-csi.org/l20-argentina-2018-economic-and" TargetMode="External"/><Relationship Id="rId33" Type="http://schemas.openxmlformats.org/officeDocument/2006/relationships/hyperlink" Target="https://shareaction.org/wp-content/uploads/2018/08/WDI-CaseStudy-Malawi.pdf" TargetMode="Externa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s://www.ethicaltrade.org/events/conference-living-wages-desirable-feasible-inevitable" TargetMode="External"/><Relationship Id="rId11" Type="http://schemas.openxmlformats.org/officeDocument/2006/relationships/hyperlink" Target="https://actonlivingwages.com/" TargetMode="External"/><Relationship Id="rId12" Type="http://schemas.openxmlformats.org/officeDocument/2006/relationships/hyperlink" Target="https://shareaction.org/wp-content/uploads/2018/08/WDI-CaseStudy-Malawi.pdf" TargetMode="External"/><Relationship Id="rId13" Type="http://schemas.openxmlformats.org/officeDocument/2006/relationships/hyperlink" Target="http://www.fao.org/world-banana-forum/projects/living-wage-advocacy-initiative-liwin/en/" TargetMode="External"/><Relationship Id="rId14" Type="http://schemas.openxmlformats.org/officeDocument/2006/relationships/hyperlink" Target="http://www.fairfoodprogram.org/" TargetMode="External"/><Relationship Id="rId15" Type="http://schemas.openxmlformats.org/officeDocument/2006/relationships/hyperlink" Target="https://www.nytimes.com/2011/01/19/us/19farm.html" TargetMode="External"/><Relationship Id="rId16" Type="http://schemas.openxmlformats.org/officeDocument/2006/relationships/hyperlink" Target="https://eu.patagonia.com/gb/en/living-wage-vs-minimum-wage.html" TargetMode="External"/><Relationship Id="rId17" Type="http://schemas.openxmlformats.org/officeDocument/2006/relationships/hyperlink" Target="https://cdn.nudiejeans.com/media/files/Sustainability-Report-2017-Nudie-Jeans.pdf" TargetMode="External"/><Relationship Id="rId18" Type="http://schemas.openxmlformats.org/officeDocument/2006/relationships/hyperlink" Target="https://about.hm.com/en/media/news/general-news-2018/fair-living-wages--what-did-we-promise-and-what-progress-have-we.html" TargetMode="External"/><Relationship Id="rId19" Type="http://schemas.openxmlformats.org/officeDocument/2006/relationships/hyperlink" Target="https://www.globallivingwage.org/" TargetMode="External"/></Relationships>
</file>

<file path=word/_rels/endnotes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irwear.org/living-wage-portal/leading-fwf-brands-push-pay-higher-wages/" TargetMode="External"/><Relationship Id="rId12" Type="http://schemas.openxmlformats.org/officeDocument/2006/relationships/hyperlink" Target="https://cleanclothes.org/" TargetMode="External"/><Relationship Id="rId13" Type="http://schemas.openxmlformats.org/officeDocument/2006/relationships/hyperlink" Target="https://www.livingwage.nl/" TargetMode="External"/><Relationship Id="rId14" Type="http://schemas.openxmlformats.org/officeDocument/2006/relationships/hyperlink" Target="https://shareaction.org/wdi/" TargetMode="External"/><Relationship Id="rId15" Type="http://schemas.openxmlformats.org/officeDocument/2006/relationships/hyperlink" Target="https://betterbuying.org/" TargetMode="External"/><Relationship Id="rId16" Type="http://schemas.openxmlformats.org/officeDocument/2006/relationships/hyperlink" Target="https://www.oxfam.org/en/pressroom/pressreleases/2018-06-21/poverty-and-inequality-major-ingredients-supermarket-supply" TargetMode="External"/><Relationship Id="rId17" Type="http://schemas.openxmlformats.org/officeDocument/2006/relationships/hyperlink" Target="https://www.corporatebenchmark.org/" TargetMode="External"/><Relationship Id="rId18" Type="http://schemas.openxmlformats.org/officeDocument/2006/relationships/hyperlink" Target="https://www.ituc-csi.org/wagescampaign" TargetMode="External"/><Relationship Id="rId19" Type="http://schemas.openxmlformats.org/officeDocument/2006/relationships/hyperlink" Target="https://shareaction.org/wp-content/uploads/2018/08/WDI-CaseStudy-Malawi.pdf" TargetMode="External"/><Relationship Id="rId1" Type="http://schemas.openxmlformats.org/officeDocument/2006/relationships/hyperlink" Target="https://www.ituc-csi.org/l20-argentina-2018-economic-and" TargetMode="External"/><Relationship Id="rId2" Type="http://schemas.openxmlformats.org/officeDocument/2006/relationships/hyperlink" Target="https://www.ethicaltrade.org/blog/its-not-fair" TargetMode="External"/><Relationship Id="rId3" Type="http://schemas.openxmlformats.org/officeDocument/2006/relationships/hyperlink" Target="https://actonlivingwages.com/" TargetMode="External"/><Relationship Id="rId4" Type="http://schemas.openxmlformats.org/officeDocument/2006/relationships/hyperlink" Target="https://shareaction.org/wp-content/uploads/2018/08/WDI-CaseStudy-Malawi.pdf" TargetMode="External"/><Relationship Id="rId5" Type="http://schemas.openxmlformats.org/officeDocument/2006/relationships/hyperlink" Target="http://www.fao.org/world-banana-forum/projects/living-wage-advocacy-initiative-liwin/en/" TargetMode="External"/><Relationship Id="rId6" Type="http://schemas.openxmlformats.org/officeDocument/2006/relationships/hyperlink" Target="http://www.fairfoodprogram.org/" TargetMode="External"/><Relationship Id="rId7" Type="http://schemas.openxmlformats.org/officeDocument/2006/relationships/hyperlink" Target="https://eu.patagonia.com/gb/en/living-wage-vs-minimum-wage.html" TargetMode="External"/><Relationship Id="rId8" Type="http://schemas.openxmlformats.org/officeDocument/2006/relationships/hyperlink" Target="https://cdn.nudiejeans.com/media/files/Sustainability-Report-2017-Nudie-Jeans.pdf" TargetMode="External"/><Relationship Id="rId9" Type="http://schemas.openxmlformats.org/officeDocument/2006/relationships/hyperlink" Target="https://www.globallivingwage.org/" TargetMode="External"/><Relationship Id="rId10" Type="http://schemas.openxmlformats.org/officeDocument/2006/relationships/hyperlink" Target="https://wageindicator.org/documents/publicationslist/publications-2016/van-klaveren-m-2016-wages-in-context-in-the-garment-industry-in-asia-amsterdam-wageindicator-foundation-april-28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0E28-5474-CB41-A37A-CEAE48C8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1486</Words>
  <Characters>8476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Sabita Banerji</dc:creator>
  <cp:keywords/>
  <dc:description/>
  <cp:lastModifiedBy>Alan Sadler</cp:lastModifiedBy>
  <cp:revision>2</cp:revision>
  <cp:lastPrinted>2018-10-31T11:21:00Z</cp:lastPrinted>
  <dcterms:created xsi:type="dcterms:W3CDTF">2018-11-13T12:23:00Z</dcterms:created>
  <dcterms:modified xsi:type="dcterms:W3CDTF">2018-11-13T12:23:00Z</dcterms:modified>
</cp:coreProperties>
</file>